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第一章危险有害因素辨识和安全生产评价</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1．危险有害因素辨识、重大危险源辨识。</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2．安全生产检查、安全生产事故隐患排查治理、安全评价。</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3．职业病危害评价和安全技术措施制定。</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2622550"/>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2622550"/>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危险、有害因素的分类(表1—1)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1—1危险、有害因素的分类</w:t>
      </w:r>
    </w:p>
    <w:tbl>
      <w:tblPr>
        <w:tblStyle w:val="4"/>
        <w:tblW w:w="8409" w:type="dxa"/>
        <w:tblInd w:w="15" w:type="dxa"/>
        <w:tblLayout w:type="fixed"/>
        <w:tblCellMar>
          <w:top w:w="0" w:type="dxa"/>
          <w:left w:w="0" w:type="dxa"/>
          <w:bottom w:w="0" w:type="dxa"/>
          <w:right w:w="0" w:type="dxa"/>
        </w:tblCellMar>
      </w:tblPr>
      <w:tblGrid>
        <w:gridCol w:w="542"/>
        <w:gridCol w:w="1037"/>
        <w:gridCol w:w="6821"/>
        <w:gridCol w:w="9"/>
      </w:tblGrid>
      <w:tr>
        <w:tblPrEx>
          <w:tblLayout w:type="fixed"/>
          <w:tblCellMar>
            <w:top w:w="0" w:type="dxa"/>
            <w:left w:w="0" w:type="dxa"/>
            <w:bottom w:w="0" w:type="dxa"/>
            <w:right w:w="0" w:type="dxa"/>
          </w:tblCellMar>
        </w:tblPrEx>
        <w:trPr>
          <w:gridAfter w:val="1"/>
          <w:wAfter w:w="9" w:type="dxa"/>
          <w:trHeight w:val="30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648" w:hRule="atLeast"/>
        </w:trPr>
        <w:tc>
          <w:tcPr>
            <w:tcW w:w="54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按导致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事故的</w:t>
            </w:r>
          </w:p>
        </w:tc>
        <w:tc>
          <w:tcPr>
            <w:tcW w:w="103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人的因素</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心理、生理性。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行为性</w:t>
            </w:r>
          </w:p>
        </w:tc>
      </w:tr>
      <w:tr>
        <w:tblPrEx>
          <w:tblLayout w:type="fixed"/>
          <w:tblCellMar>
            <w:top w:w="0" w:type="dxa"/>
            <w:left w:w="0" w:type="dxa"/>
            <w:bottom w:w="0" w:type="dxa"/>
            <w:right w:w="0" w:type="dxa"/>
          </w:tblCellMar>
        </w:tblPrEx>
        <w:trPr>
          <w:gridAfter w:val="1"/>
          <w:wAfter w:w="9" w:type="dxa"/>
          <w:trHeight w:val="792" w:hRule="atLeast"/>
        </w:trPr>
        <w:tc>
          <w:tcPr>
            <w:tcW w:w="542"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直接原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因进行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tc>
        <w:tc>
          <w:tcPr>
            <w:tcW w:w="1037"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物的因素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物理性。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化学性。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生物性</w:t>
            </w:r>
          </w:p>
        </w:tc>
      </w:tr>
      <w:tr>
        <w:tblPrEx>
          <w:tblLayout w:type="fixed"/>
          <w:tblCellMar>
            <w:top w:w="0" w:type="dxa"/>
            <w:left w:w="0" w:type="dxa"/>
            <w:bottom w:w="0" w:type="dxa"/>
            <w:right w:w="0" w:type="dxa"/>
          </w:tblCellMar>
        </w:tblPrEx>
        <w:trPr>
          <w:trHeight w:val="29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54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按导致</w:t>
            </w:r>
          </w:p>
        </w:tc>
        <w:tc>
          <w:tcPr>
            <w:tcW w:w="103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环境因素</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室内外作业场所环境不良。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地下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含水下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作业环境不良。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其他</w:t>
            </w:r>
          </w:p>
        </w:tc>
      </w:tr>
      <w:tr>
        <w:tblPrEx>
          <w:tblLayout w:type="fixed"/>
          <w:tblCellMar>
            <w:top w:w="0" w:type="dxa"/>
            <w:left w:w="0" w:type="dxa"/>
            <w:bottom w:w="0" w:type="dxa"/>
            <w:right w:w="0" w:type="dxa"/>
          </w:tblCellMar>
        </w:tblPrEx>
        <w:trPr>
          <w:trHeight w:val="1579" w:hRule="atLeast"/>
        </w:trPr>
        <w:tc>
          <w:tcPr>
            <w:tcW w:w="54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直接原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因进行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03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职业安全卫生组织机构不健全。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职业安全卫生责任制未落实。</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职业安全卫生管理规章制度不完善。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职业安全卫生投入不足。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职业健康管理不完善。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其他管理因素缺陷</w:t>
            </w:r>
          </w:p>
        </w:tc>
      </w:tr>
      <w:tr>
        <w:tblPrEx>
          <w:tblLayout w:type="fixed"/>
          <w:tblCellMar>
            <w:top w:w="0" w:type="dxa"/>
            <w:left w:w="0" w:type="dxa"/>
            <w:bottom w:w="0" w:type="dxa"/>
            <w:right w:w="0" w:type="dxa"/>
          </w:tblCellMar>
        </w:tblPrEx>
        <w:trPr>
          <w:trHeight w:val="4790"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参照事故类别</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物体扣击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不包括因机械设备、车辆、起重机械、坍塌等引发的物体打击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车辆伤害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不包括起重设备提升、牵引车辆和车辆停驶时发生的事故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机械伤害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不包括车辆、起重机械引起的机械伤害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起重伤害。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触电。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淹溺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不包括矿山、井下透水淹溺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灼烫</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包括火焰烧伤、高温物体烫伤、化学灼伤、物理灼伤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火灾。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高处坠落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不包括触电坠落事故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坍塌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包括挖沟时的土石塌方、脚手架坍塌、堆置物倒塌等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(11)</w:t>
            </w:r>
            <w:r>
              <w:rPr>
                <w:rFonts w:hint="eastAsia" w:ascii="微软雅黑" w:hAnsi="微软雅黑" w:eastAsia="微软雅黑" w:cs="微软雅黑"/>
                <w:color w:val="000000"/>
                <w:kern w:val="0"/>
                <w:sz w:val="18"/>
                <w:szCs w:val="18"/>
              </w:rPr>
              <w:t>冒顶片帮。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透水。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(13)</w:t>
            </w:r>
            <w:r>
              <w:rPr>
                <w:rFonts w:hint="eastAsia" w:ascii="微软雅黑" w:hAnsi="微软雅黑" w:eastAsia="微软雅黑" w:cs="微软雅黑"/>
                <w:color w:val="000000"/>
                <w:kern w:val="0"/>
                <w:sz w:val="18"/>
                <w:szCs w:val="18"/>
              </w:rPr>
              <w:t>放炮。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(14)</w:t>
            </w:r>
            <w:r>
              <w:rPr>
                <w:rFonts w:hint="eastAsia" w:ascii="微软雅黑" w:hAnsi="微软雅黑" w:eastAsia="微软雅黑" w:cs="微软雅黑"/>
                <w:color w:val="000000"/>
                <w:kern w:val="0"/>
                <w:sz w:val="18"/>
                <w:szCs w:val="18"/>
              </w:rPr>
              <w:t>火药爆炸。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瓦斯爆炸。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(16)</w:t>
            </w:r>
            <w:r>
              <w:rPr>
                <w:rFonts w:hint="eastAsia" w:ascii="微软雅黑" w:hAnsi="微软雅黑" w:eastAsia="微软雅黑" w:cs="微软雅黑"/>
                <w:color w:val="000000"/>
                <w:kern w:val="0"/>
                <w:sz w:val="18"/>
                <w:szCs w:val="18"/>
              </w:rPr>
              <w:t>锅炉爆炸。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(17)</w:t>
            </w:r>
            <w:r>
              <w:rPr>
                <w:rFonts w:hint="eastAsia" w:ascii="微软雅黑" w:hAnsi="微软雅黑" w:eastAsia="微软雅黑" w:cs="微软雅黑"/>
                <w:color w:val="000000"/>
                <w:kern w:val="0"/>
                <w:sz w:val="18"/>
                <w:szCs w:val="18"/>
              </w:rPr>
              <w:t>容器爆炸。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(18)</w:t>
            </w:r>
            <w:r>
              <w:rPr>
                <w:rFonts w:hint="eastAsia" w:ascii="微软雅黑" w:hAnsi="微软雅黑" w:eastAsia="微软雅黑" w:cs="微软雅黑"/>
                <w:color w:val="000000"/>
                <w:kern w:val="0"/>
                <w:sz w:val="18"/>
                <w:szCs w:val="18"/>
              </w:rPr>
              <w:t>其他爆炸。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(19)</w:t>
            </w:r>
            <w:r>
              <w:rPr>
                <w:rFonts w:hint="eastAsia" w:ascii="微软雅黑" w:hAnsi="微软雅黑" w:eastAsia="微软雅黑" w:cs="微软雅黑"/>
                <w:color w:val="000000"/>
                <w:kern w:val="0"/>
                <w:sz w:val="18"/>
                <w:szCs w:val="18"/>
              </w:rPr>
              <w:t>中毒和窒息</w:t>
            </w:r>
          </w:p>
        </w:tc>
      </w:tr>
      <w:tr>
        <w:tblPrEx>
          <w:tblLayout w:type="fixed"/>
          <w:tblCellMar>
            <w:top w:w="0" w:type="dxa"/>
            <w:left w:w="0" w:type="dxa"/>
            <w:bottom w:w="0" w:type="dxa"/>
            <w:right w:w="0" w:type="dxa"/>
          </w:tblCellMar>
        </w:tblPrEx>
        <w:trPr>
          <w:trHeight w:val="873"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按职业健康分类</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根据《职业危害因素分类目录》规定，可以分为：粉尘、放射性物质、化学物质、物理因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素、生物因素、导致职业性皮肤病的危害因素、导致职业性眼病的危害因素、导致职业性耳鼻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喉口腔疾病的危害因素、职业性肿瘤的职业危害因素、其他职业危害因素等</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项</w:t>
            </w:r>
            <w:r>
              <w:rPr>
                <w:rFonts w:hint="eastAsia" w:ascii="微软雅黑" w:hAnsi="微软雅黑" w:eastAsia="微软雅黑" w:cs="微软雅黑"/>
                <w:color w:val="000000"/>
                <w:kern w:val="0"/>
                <w:sz w:val="18"/>
                <w:szCs w:val="18"/>
              </w:rPr>
              <w:t>)</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危险、有害因素辨识方法(表1—2)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1—2危险、有害因素辨识方法</w:t>
      </w:r>
    </w:p>
    <w:tbl>
      <w:tblPr>
        <w:tblStyle w:val="4"/>
        <w:tblW w:w="8419" w:type="dxa"/>
        <w:tblInd w:w="15" w:type="dxa"/>
        <w:tblLayout w:type="fixed"/>
        <w:tblCellMar>
          <w:top w:w="0" w:type="dxa"/>
          <w:left w:w="0" w:type="dxa"/>
          <w:bottom w:w="0" w:type="dxa"/>
          <w:right w:w="0" w:type="dxa"/>
        </w:tblCellMar>
      </w:tblPr>
      <w:tblGrid>
        <w:gridCol w:w="398"/>
        <w:gridCol w:w="394"/>
        <w:gridCol w:w="9"/>
        <w:gridCol w:w="778"/>
        <w:gridCol w:w="19"/>
        <w:gridCol w:w="6811"/>
        <w:gridCol w:w="10"/>
      </w:tblGrid>
      <w:tr>
        <w:tblPrEx>
          <w:tblLayout w:type="fixed"/>
          <w:tblCellMar>
            <w:top w:w="0" w:type="dxa"/>
            <w:left w:w="0" w:type="dxa"/>
            <w:bottom w:w="0" w:type="dxa"/>
            <w:right w:w="0" w:type="dxa"/>
          </w:tblCellMar>
        </w:tblPrEx>
        <w:trPr>
          <w:trHeight w:val="302" w:hRule="atLeast"/>
        </w:trPr>
        <w:tc>
          <w:tcPr>
            <w:tcW w:w="1598" w:type="dxa"/>
            <w:gridSpan w:val="5"/>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39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gridSpan w:val="2"/>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有可供参考先例、有以往经验可以借鉴的系统</w:t>
            </w:r>
          </w:p>
        </w:tc>
      </w:tr>
      <w:tr>
        <w:tblPrEx>
          <w:tblLayout w:type="fixed"/>
          <w:tblCellMar>
            <w:top w:w="0" w:type="dxa"/>
            <w:left w:w="0" w:type="dxa"/>
            <w:bottom w:w="0" w:type="dxa"/>
            <w:right w:w="0" w:type="dxa"/>
          </w:tblCellMar>
        </w:tblPrEx>
        <w:trPr>
          <w:trHeight w:val="321" w:hRule="atLeast"/>
        </w:trPr>
        <w:tc>
          <w:tcPr>
            <w:tcW w:w="39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直观</w:t>
            </w:r>
          </w:p>
        </w:tc>
        <w:tc>
          <w:tcPr>
            <w:tcW w:w="403" w:type="dxa"/>
            <w:gridSpan w:val="2"/>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应用</w:t>
            </w: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不适用</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在没有可供参考先例的新开发系统</w:t>
            </w:r>
          </w:p>
        </w:tc>
      </w:tr>
      <w:tr>
        <w:tblPrEx>
          <w:tblLayout w:type="fixed"/>
          <w:tblCellMar>
            <w:top w:w="0" w:type="dxa"/>
            <w:left w:w="0" w:type="dxa"/>
            <w:bottom w:w="0" w:type="dxa"/>
            <w:right w:w="0" w:type="dxa"/>
          </w:tblCellMar>
        </w:tblPrEx>
        <w:trPr>
          <w:trHeight w:val="633" w:hRule="atLeast"/>
        </w:trPr>
        <w:tc>
          <w:tcPr>
            <w:tcW w:w="39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分析</w:t>
            </w:r>
          </w:p>
        </w:tc>
        <w:tc>
          <w:tcPr>
            <w:tcW w:w="403" w:type="dxa"/>
            <w:gridSpan w:val="2"/>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经验法</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对照有关标准、法规、检查表或依靠分析人员的观察分析能力，借助于经验和判断能力对评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价对象的危险、有害因素进行分析</w:t>
            </w:r>
          </w:p>
        </w:tc>
      </w:tr>
      <w:tr>
        <w:tblPrEx>
          <w:tblLayout w:type="fixed"/>
          <w:tblCellMar>
            <w:top w:w="0" w:type="dxa"/>
            <w:left w:w="0" w:type="dxa"/>
            <w:bottom w:w="0" w:type="dxa"/>
            <w:right w:w="0" w:type="dxa"/>
          </w:tblCellMar>
        </w:tblPrEx>
        <w:trPr>
          <w:trHeight w:val="638" w:hRule="atLeast"/>
        </w:trPr>
        <w:tc>
          <w:tcPr>
            <w:tcW w:w="398"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403" w:type="dxa"/>
            <w:gridSpan w:val="2"/>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类比方法</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利用相同或相似工程系统或作业条件的经验和劳动安全卫生的统计资料来类推、分析评价对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象的危险、有害因素</w:t>
            </w:r>
          </w:p>
        </w:tc>
      </w:tr>
      <w:tr>
        <w:tblPrEx>
          <w:tblLayout w:type="fixed"/>
          <w:tblCellMar>
            <w:top w:w="0" w:type="dxa"/>
            <w:left w:w="0" w:type="dxa"/>
            <w:bottom w:w="0" w:type="dxa"/>
            <w:right w:w="0" w:type="dxa"/>
          </w:tblCellMar>
        </w:tblPrEx>
        <w:trPr>
          <w:gridAfter w:val="1"/>
          <w:wAfter w:w="10" w:type="dxa"/>
          <w:trHeight w:val="297" w:hRule="atLeast"/>
        </w:trPr>
        <w:tc>
          <w:tcPr>
            <w:tcW w:w="1579"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PrEx>
        <w:trPr>
          <w:gridAfter w:val="1"/>
          <w:wAfter w:w="10" w:type="dxa"/>
          <w:trHeight w:val="321" w:hRule="atLeast"/>
        </w:trPr>
        <w:tc>
          <w:tcPr>
            <w:tcW w:w="792" w:type="dxa"/>
            <w:gridSpan w:val="2"/>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系统安全</w:t>
            </w:r>
          </w:p>
        </w:tc>
        <w:tc>
          <w:tcPr>
            <w:tcW w:w="78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应用系统安全工程评价方法中的某些方法进行危险、有害因素的辨识</w:t>
            </w:r>
          </w:p>
        </w:tc>
      </w:tr>
      <w:tr>
        <w:tblPrEx>
          <w:tblLayout w:type="fixed"/>
          <w:tblCellMar>
            <w:top w:w="0" w:type="dxa"/>
            <w:left w:w="0" w:type="dxa"/>
            <w:bottom w:w="0" w:type="dxa"/>
            <w:right w:w="0" w:type="dxa"/>
          </w:tblCellMar>
        </w:tblPrEx>
        <w:trPr>
          <w:gridAfter w:val="1"/>
          <w:wAfter w:w="10" w:type="dxa"/>
          <w:trHeight w:val="307" w:hRule="atLeast"/>
        </w:trPr>
        <w:tc>
          <w:tcPr>
            <w:tcW w:w="792" w:type="dxa"/>
            <w:gridSpan w:val="2"/>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分析方法</w:t>
            </w:r>
          </w:p>
        </w:tc>
        <w:tc>
          <w:tcPr>
            <w:tcW w:w="787"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应用</w:t>
            </w: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复杂、没有事故经验的新开发系统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事件树、事故树等</w:t>
            </w:r>
            <w:r>
              <w:rPr>
                <w:rFonts w:hint="eastAsia" w:ascii="微软雅黑" w:hAnsi="微软雅黑" w:eastAsia="微软雅黑" w:cs="微软雅黑"/>
                <w:color w:val="000000"/>
                <w:kern w:val="0"/>
                <w:sz w:val="18"/>
                <w:szCs w:val="18"/>
              </w:rPr>
              <w:t>)</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危险、有害因素的识别(表1—3)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3危险、有害因素的识别</w:t>
      </w:r>
    </w:p>
    <w:tbl>
      <w:tblPr>
        <w:tblStyle w:val="4"/>
        <w:tblW w:w="8404" w:type="dxa"/>
        <w:tblInd w:w="15" w:type="dxa"/>
        <w:tblLayout w:type="fixed"/>
        <w:tblCellMar>
          <w:top w:w="0" w:type="dxa"/>
          <w:left w:w="0" w:type="dxa"/>
          <w:bottom w:w="0" w:type="dxa"/>
          <w:right w:w="0" w:type="dxa"/>
        </w:tblCellMar>
      </w:tblPr>
      <w:tblGrid>
        <w:gridCol w:w="792"/>
        <w:gridCol w:w="787"/>
        <w:gridCol w:w="6825"/>
      </w:tblGrid>
      <w:tr>
        <w:tblPrEx>
          <w:tblLayout w:type="fixed"/>
          <w:tblCellMar>
            <w:top w:w="0" w:type="dxa"/>
            <w:left w:w="0" w:type="dxa"/>
            <w:bottom w:w="0" w:type="dxa"/>
            <w:right w:w="0" w:type="dxa"/>
          </w:tblCellMar>
        </w:tblPrEx>
        <w:trPr>
          <w:trHeight w:val="30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5"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分析、识别</w:t>
            </w:r>
          </w:p>
        </w:tc>
      </w:tr>
      <w:tr>
        <w:tblPrEx>
          <w:tblLayout w:type="fixed"/>
          <w:tblCellMar>
            <w:top w:w="0" w:type="dxa"/>
            <w:left w:w="0" w:type="dxa"/>
            <w:bottom w:w="0" w:type="dxa"/>
            <w:right w:w="0" w:type="dxa"/>
          </w:tblCellMar>
        </w:tblPrEx>
        <w:trPr>
          <w:trHeight w:val="316"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厂址</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工程地质、地形地貌、水文、气象条件、周围环境、交通运输条件及自然灾害、消防支持等</w:t>
            </w:r>
          </w:p>
        </w:tc>
      </w:tr>
      <w:tr>
        <w:tblPrEx>
          <w:tblLayout w:type="fixed"/>
          <w:tblCellMar>
            <w:top w:w="0" w:type="dxa"/>
            <w:left w:w="0" w:type="dxa"/>
            <w:bottom w:w="0" w:type="dxa"/>
            <w:right w:w="0" w:type="dxa"/>
          </w:tblCellMar>
        </w:tblPrEx>
        <w:trPr>
          <w:trHeight w:val="720"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总平面布置</w:t>
            </w:r>
          </w:p>
          <w:p>
            <w:pPr>
              <w:autoSpaceDE w:val="0"/>
              <w:autoSpaceDN w:val="0"/>
              <w:rPr>
                <w:rFonts w:hint="eastAsia" w:ascii="微软雅黑" w:hAnsi="微软雅黑" w:eastAsia="微软雅黑" w:cs="微软雅黑"/>
                <w:color w:val="000000"/>
                <w:kern w:val="0"/>
                <w:sz w:val="18"/>
                <w:szCs w:val="18"/>
              </w:rPr>
            </w:pP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功能分区、防火间距和安全间距、风向、建筑物朝向、危险有害物质设施、动力设施、道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路、储运设施等</w:t>
            </w:r>
          </w:p>
        </w:tc>
      </w:tr>
      <w:tr>
        <w:tblPrEx>
          <w:tblLayout w:type="fixed"/>
          <w:tblCellMar>
            <w:top w:w="0" w:type="dxa"/>
            <w:left w:w="0" w:type="dxa"/>
            <w:bottom w:w="0" w:type="dxa"/>
            <w:right w:w="0" w:type="dxa"/>
          </w:tblCellMar>
        </w:tblPrEx>
        <w:trPr>
          <w:trHeight w:val="321"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道路及运输</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运输、装卸、消防、疏散、人流、物流、平面交叉运输和竖向交叉运输等</w:t>
            </w:r>
          </w:p>
        </w:tc>
      </w:tr>
      <w:tr>
        <w:tblPrEx>
          <w:tblLayout w:type="fixed"/>
          <w:tblCellMar>
            <w:top w:w="0" w:type="dxa"/>
            <w:left w:w="0" w:type="dxa"/>
            <w:bottom w:w="0" w:type="dxa"/>
            <w:right w:w="0" w:type="dxa"/>
          </w:tblCellMar>
        </w:tblPrEx>
        <w:trPr>
          <w:trHeight w:val="316"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构</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筑物</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生产火灾危险性分类、耐火等级、结构、层数、占地面积、防火间距、安全疏散等</w:t>
            </w:r>
          </w:p>
        </w:tc>
      </w:tr>
      <w:tr>
        <w:tblPrEx>
          <w:tblLayout w:type="fixed"/>
          <w:tblCellMar>
            <w:top w:w="0" w:type="dxa"/>
            <w:left w:w="0" w:type="dxa"/>
            <w:bottom w:w="0" w:type="dxa"/>
            <w:right w:w="0" w:type="dxa"/>
          </w:tblCellMar>
        </w:tblPrEx>
        <w:trPr>
          <w:trHeight w:val="724" w:hRule="atLeast"/>
        </w:trPr>
        <w:tc>
          <w:tcPr>
            <w:tcW w:w="79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生产设</w:t>
            </w:r>
          </w:p>
        </w:tc>
        <w:tc>
          <w:tcPr>
            <w:tcW w:w="78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工艺设备</w:t>
            </w:r>
          </w:p>
          <w:p>
            <w:pPr>
              <w:autoSpaceDE w:val="0"/>
              <w:autoSpaceDN w:val="0"/>
              <w:rPr>
                <w:rFonts w:hint="eastAsia" w:ascii="微软雅黑" w:hAnsi="微软雅黑" w:eastAsia="微软雅黑" w:cs="微软雅黑"/>
                <w:color w:val="000000"/>
                <w:kern w:val="0"/>
                <w:sz w:val="18"/>
                <w:szCs w:val="18"/>
              </w:rPr>
            </w:pP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高温、低温、高压、腐蚀、振动、关键部位的备用设备、控制、操作、检修和故障、失误时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的紧急异常情况等</w:t>
            </w:r>
          </w:p>
        </w:tc>
      </w:tr>
      <w:tr>
        <w:tblPrEx>
          <w:tblLayout w:type="fixed"/>
          <w:tblCellMar>
            <w:top w:w="0" w:type="dxa"/>
            <w:left w:w="0" w:type="dxa"/>
            <w:bottom w:w="0" w:type="dxa"/>
            <w:right w:w="0" w:type="dxa"/>
          </w:tblCellMar>
        </w:tblPrEx>
        <w:trPr>
          <w:trHeight w:val="321" w:hRule="atLeast"/>
        </w:trPr>
        <w:tc>
          <w:tcPr>
            <w:tcW w:w="792"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备、装置</w:t>
            </w:r>
          </w:p>
          <w:p>
            <w:pPr>
              <w:autoSpaceDE w:val="0"/>
              <w:autoSpaceDN w:val="0"/>
              <w:rPr>
                <w:rFonts w:hint="eastAsia" w:ascii="微软雅黑" w:hAnsi="微软雅黑" w:eastAsia="微软雅黑" w:cs="微软雅黑"/>
                <w:color w:val="000000"/>
                <w:kern w:val="0"/>
                <w:sz w:val="18"/>
                <w:szCs w:val="18"/>
              </w:rPr>
            </w:pPr>
          </w:p>
        </w:tc>
        <w:tc>
          <w:tcPr>
            <w:tcW w:w="78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机械设备</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运动零部件和工件、操作条件、检修作业、误运转和误操作等</w:t>
            </w:r>
          </w:p>
        </w:tc>
      </w:tr>
      <w:tr>
        <w:tblPrEx>
          <w:tblLayout w:type="fixed"/>
          <w:tblCellMar>
            <w:top w:w="0" w:type="dxa"/>
            <w:left w:w="0" w:type="dxa"/>
            <w:bottom w:w="0" w:type="dxa"/>
            <w:right w:w="0" w:type="dxa"/>
          </w:tblCellMar>
        </w:tblPrEx>
        <w:trPr>
          <w:trHeight w:val="316" w:hRule="atLeast"/>
        </w:trPr>
        <w:tc>
          <w:tcPr>
            <w:tcW w:w="792"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8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电气设备</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触电、断电、火灾、爆炸、误运转和误操作、静电、雷电等</w:t>
            </w:r>
          </w:p>
        </w:tc>
      </w:tr>
      <w:tr>
        <w:tblPrEx>
          <w:tblLayout w:type="fixed"/>
          <w:tblCellMar>
            <w:top w:w="0" w:type="dxa"/>
            <w:left w:w="0" w:type="dxa"/>
            <w:bottom w:w="0" w:type="dxa"/>
            <w:right w:w="0" w:type="dxa"/>
          </w:tblCellMar>
        </w:tblPrEx>
        <w:trPr>
          <w:trHeight w:val="715"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安全管理措施</w:t>
            </w:r>
          </w:p>
          <w:p>
            <w:pPr>
              <w:autoSpaceDE w:val="0"/>
              <w:autoSpaceDN w:val="0"/>
              <w:rPr>
                <w:rFonts w:hint="eastAsia" w:ascii="微软雅黑" w:hAnsi="微软雅黑" w:eastAsia="微软雅黑" w:cs="微软雅黑"/>
                <w:color w:val="000000"/>
                <w:kern w:val="0"/>
                <w:sz w:val="18"/>
                <w:szCs w:val="18"/>
              </w:rPr>
            </w:pPr>
          </w:p>
        </w:tc>
        <w:tc>
          <w:tcPr>
            <w:tcW w:w="6825"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安全生产管理组织机构、安全生产管理制度、事故应急救援预案、特种作业人员培训、日常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安全管理等</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我国关于重大危险源管理的法律法规要求(表1—4)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1—4我国关于重大危险源管理的法律法规要求</w:t>
      </w:r>
    </w:p>
    <w:tbl>
      <w:tblPr>
        <w:tblStyle w:val="4"/>
        <w:tblW w:w="8400" w:type="dxa"/>
        <w:tblInd w:w="15" w:type="dxa"/>
        <w:tblLayout w:type="fixed"/>
        <w:tblCellMar>
          <w:top w:w="0" w:type="dxa"/>
          <w:left w:w="0" w:type="dxa"/>
          <w:bottom w:w="0" w:type="dxa"/>
          <w:right w:w="0" w:type="dxa"/>
        </w:tblCellMar>
      </w:tblPr>
      <w:tblGrid>
        <w:gridCol w:w="1579"/>
        <w:gridCol w:w="6821"/>
      </w:tblGrid>
      <w:tr>
        <w:tblPrEx>
          <w:tblLayout w:type="fixed"/>
        </w:tblPrEx>
        <w:trPr>
          <w:trHeight w:val="30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法律法规</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w:t>
            </w:r>
          </w:p>
        </w:tc>
      </w:tr>
      <w:tr>
        <w:tblPrEx>
          <w:tblLayout w:type="fixed"/>
        </w:tblPrEx>
        <w:trPr>
          <w:trHeight w:val="955"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重大危险源辨识》</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将“重大危险源”定义为长期地或临时地生产、加工、使用或储存危险化学品，且危险化学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品的数量等于或超过临界量的单元。单元指一个</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套</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生产装置、设施或场所，或同属一个生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产经营单位的且边缘距离小于</w:t>
            </w:r>
            <w:r>
              <w:rPr>
                <w:rFonts w:hint="eastAsia" w:ascii="微软雅黑" w:hAnsi="微软雅黑" w:eastAsia="微软雅黑" w:cs="微软雅黑"/>
                <w:color w:val="000000"/>
                <w:kern w:val="0"/>
                <w:sz w:val="18"/>
                <w:szCs w:val="18"/>
              </w:rPr>
              <w:t>500m</w:t>
            </w:r>
            <w:r>
              <w:rPr>
                <w:rFonts w:hint="eastAsia" w:ascii="微软雅黑" w:hAnsi="微软雅黑" w:eastAsia="微软雅黑" w:cs="微软雅黑"/>
                <w:color w:val="000000"/>
                <w:kern w:val="0"/>
                <w:sz w:val="18"/>
                <w:szCs w:val="18"/>
              </w:rPr>
              <w:t>的几个</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套</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生产装置、设施或场所</w:t>
            </w:r>
          </w:p>
        </w:tc>
      </w:tr>
      <w:tr>
        <w:tblPrEx>
          <w:tblLayout w:type="fixed"/>
          <w:tblCellMar>
            <w:top w:w="0" w:type="dxa"/>
            <w:left w:w="0" w:type="dxa"/>
            <w:bottom w:w="0" w:type="dxa"/>
            <w:right w:w="0" w:type="dxa"/>
          </w:tblCellMar>
        </w:tblPrEx>
        <w:trPr>
          <w:trHeight w:val="964"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安全管理条例》</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对剧毒化学品以及储存数量构成重大危险源的其他危险化学品，储存单位应当将其储存数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量、储存地点以及管理人员的情况，报所在地县级人民政府安全生产监督管理部门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在港区内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储存的，报港口行政管理部门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和公安机关备案</w:t>
            </w:r>
          </w:p>
        </w:tc>
      </w:tr>
      <w:tr>
        <w:tblPrEx>
          <w:tblLayout w:type="fixed"/>
          <w:tblCellMar>
            <w:top w:w="0" w:type="dxa"/>
            <w:left w:w="0" w:type="dxa"/>
            <w:bottom w:w="0" w:type="dxa"/>
            <w:right w:w="0" w:type="dxa"/>
          </w:tblCellMar>
        </w:tblPrEx>
        <w:trPr>
          <w:trHeight w:val="1276"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生产经营单位对重大危险源应当登记建档，进行定期检测、评估、监控，并制订应急预案．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告知从业人员和相关人员在紧急情况下应当采取的应急措施。生产经营单位应当按照国家有关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规定将本单位重大危险源及有关安全措施、应急措施报有关地方人民政府安全生产监督管理部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门和有关部门备案</w:t>
            </w:r>
          </w:p>
        </w:tc>
      </w:tr>
      <w:tr>
        <w:tblPrEx>
          <w:tblLayout w:type="fixed"/>
          <w:tblCellMar>
            <w:top w:w="0" w:type="dxa"/>
            <w:left w:w="0" w:type="dxa"/>
            <w:bottom w:w="0" w:type="dxa"/>
            <w:right w:w="0" w:type="dxa"/>
          </w:tblCellMar>
        </w:tblPrEx>
        <w:trPr>
          <w:trHeight w:val="955"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《国务院关于进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一步加强安全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生产工作的决定》</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搞好重大危险源的普查登记，加强国家、省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区、市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四级重大危险源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监控工作，建立应急救援预案和生产安全预警机制</w:t>
            </w:r>
          </w:p>
          <w:p>
            <w:pPr>
              <w:autoSpaceDE w:val="0"/>
              <w:autoSpaceDN w:val="0"/>
              <w:rPr>
                <w:rFonts w:hint="eastAsia" w:ascii="微软雅黑" w:hAnsi="微软雅黑" w:eastAsia="微软雅黑" w:cs="微软雅黑"/>
                <w:color w:val="000000"/>
                <w:kern w:val="0"/>
                <w:sz w:val="18"/>
                <w:szCs w:val="18"/>
              </w:rPr>
            </w:pP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危险化学品重大危险源的辨识标准及方法(表1—5)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1969770"/>
            <wp:effectExtent l="19050" t="0" r="254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stretch>
                      <a:fillRect/>
                    </a:stretch>
                  </pic:blipFill>
                  <pic:spPr>
                    <a:xfrm>
                      <a:off x="0" y="0"/>
                      <a:ext cx="5274310" cy="1969770"/>
                    </a:xfrm>
                    <a:prstGeom prst="rect">
                      <a:avLst/>
                    </a:prstGeom>
                  </pic:spPr>
                </pic:pic>
              </a:graphicData>
            </a:graphic>
          </wp:inline>
        </w:drawing>
      </w:r>
    </w:p>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重大危险源的评价</w:t>
      </w:r>
      <w:r>
        <w:rPr>
          <w:rFonts w:hint="eastAsia" w:ascii="微软雅黑" w:hAnsi="微软雅黑" w:eastAsia="微软雅黑" w:cs="微软雅黑"/>
          <w:color w:val="000000"/>
          <w:sz w:val="18"/>
          <w:szCs w:val="18"/>
        </w:rPr>
        <w:t>(表1-6)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1—6重大危险源的评价</w:t>
      </w:r>
    </w:p>
    <w:tbl>
      <w:tblPr>
        <w:tblStyle w:val="4"/>
        <w:tblW w:w="8409" w:type="dxa"/>
        <w:tblInd w:w="15" w:type="dxa"/>
        <w:tblLayout w:type="fixed"/>
        <w:tblCellMar>
          <w:top w:w="0" w:type="dxa"/>
          <w:left w:w="0" w:type="dxa"/>
          <w:bottom w:w="0" w:type="dxa"/>
          <w:right w:w="0" w:type="dxa"/>
        </w:tblCellMar>
      </w:tblPr>
      <w:tblGrid>
        <w:gridCol w:w="792"/>
        <w:gridCol w:w="796"/>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评价模型的层次结构</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根据安全工程学的一般原理，危险性定义为事故频率与事故后果严重程度的乘积，即危险性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评价取决于事故的易发性和发生事故后果的严重性</w:t>
            </w:r>
          </w:p>
        </w:tc>
      </w:tr>
      <w:tr>
        <w:tblPrEx>
          <w:tblLayout w:type="fixed"/>
          <w:tblCellMar>
            <w:top w:w="0" w:type="dxa"/>
            <w:left w:w="0" w:type="dxa"/>
            <w:bottom w:w="0" w:type="dxa"/>
            <w:right w:w="0" w:type="dxa"/>
          </w:tblCellMar>
        </w:tblPrEx>
        <w:trPr>
          <w:trHeight w:val="88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危险物质事故易发性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B</w:t>
            </w:r>
            <w:r>
              <w:rPr>
                <w:rFonts w:hint="eastAsia" w:ascii="微软雅黑" w:hAnsi="微软雅黑" w:eastAsia="微软雅黑" w:cs="微软雅黑"/>
                <w:color w:val="000000"/>
                <w:kern w:val="0"/>
                <w:sz w:val="18"/>
                <w:szCs w:val="18"/>
                <w:vertAlign w:val="subscript"/>
              </w:rPr>
              <w:t>111</w:t>
            </w:r>
            <w:r>
              <w:rPr>
                <w:rFonts w:hint="eastAsia" w:ascii="微软雅黑" w:hAnsi="微软雅黑" w:eastAsia="微软雅黑" w:cs="微软雅黑"/>
                <w:color w:val="000000"/>
                <w:kern w:val="0"/>
                <w:sz w:val="18"/>
                <w:szCs w:val="18"/>
              </w:rPr>
              <w:t>的评价</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对于毒性物质，其危险物质事故易发性主要取决于下列</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个参数：①毒性等级；②物质的状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态；③气味；④重度。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物质危险性的最大分值定为</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分</w:t>
            </w:r>
          </w:p>
        </w:tc>
      </w:tr>
      <w:tr>
        <w:tblPrEx>
          <w:tblLayout w:type="fixed"/>
          <w:tblCellMar>
            <w:top w:w="0" w:type="dxa"/>
            <w:left w:w="0" w:type="dxa"/>
            <w:bottom w:w="0" w:type="dxa"/>
            <w:right w:w="0" w:type="dxa"/>
          </w:tblCellMar>
        </w:tblPrEx>
        <w:trPr>
          <w:trHeight w:val="87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工艺过程事故易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发性的影响因素</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放热反应；吸热反应；物料处理；物料储存；操作方式；粉尘生成；低温条件；高温条件；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高压条件；特殊的操作条件；腐蚀；泄漏；设备因素；密闭单元；工艺布置；明火；摩擦与冲</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击；高温体；电器火花；静电；毒物出料及输送</w:t>
            </w:r>
          </w:p>
        </w:tc>
      </w:tr>
      <w:tr>
        <w:tblPrEx>
          <w:tblLayout w:type="fixed"/>
          <w:tblCellMar>
            <w:top w:w="0" w:type="dxa"/>
            <w:left w:w="0" w:type="dxa"/>
            <w:bottom w:w="0" w:type="dxa"/>
            <w:right w:w="0" w:type="dxa"/>
          </w:tblCellMar>
        </w:tblPrEx>
        <w:trPr>
          <w:trHeight w:val="652" w:hRule="atLeast"/>
        </w:trPr>
        <w:tc>
          <w:tcPr>
            <w:tcW w:w="79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事故严重</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最大危险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一种危险物具有多种事故形态，且它们的事故后果相差大，则按后果最严重的事故形态考虑</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33" w:hRule="atLeast"/>
        </w:trPr>
        <w:tc>
          <w:tcPr>
            <w:tcW w:w="79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度评价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概率求和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一种危险物具有多种事故形态，且它们的事故后果相差不大，则按统计平均原理估计事故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后果</w:t>
            </w:r>
          </w:p>
        </w:tc>
      </w:tr>
      <w:tr>
        <w:tblPrEx>
          <w:tblLayout w:type="fixed"/>
          <w:tblCellMar>
            <w:top w:w="0" w:type="dxa"/>
            <w:left w:w="0" w:type="dxa"/>
            <w:bottom w:w="0" w:type="dxa"/>
            <w:right w:w="0" w:type="dxa"/>
          </w:tblCellMar>
        </w:tblPrEx>
        <w:trPr>
          <w:trHeight w:val="63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危险性抵消因子</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大量事故统计表明，工艺设备故障、人的误操作和生产安全管理上的缺陷是引发事故发生的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三大原因</w:t>
            </w:r>
          </w:p>
        </w:tc>
      </w:tr>
      <w:tr>
        <w:tblPrEx>
          <w:tblLayout w:type="fixed"/>
          <w:tblCellMar>
            <w:top w:w="0" w:type="dxa"/>
            <w:left w:w="0" w:type="dxa"/>
            <w:bottom w:w="0" w:type="dxa"/>
            <w:right w:w="0" w:type="dxa"/>
          </w:tblCellMar>
        </w:tblPrEx>
        <w:trPr>
          <w:trHeight w:val="1689" w:hRule="atLeast"/>
        </w:trPr>
        <w:tc>
          <w:tcPr>
            <w:tcW w:w="79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危险性分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级与危险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控制程度</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源分级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一级重大危险源</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3.5</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二级重大危险源</w:t>
            </w:r>
            <w:r>
              <w:rPr>
                <w:rFonts w:hint="eastAsia" w:ascii="微软雅黑" w:hAnsi="微软雅黑" w:eastAsia="微软雅黑" w:cs="微软雅黑"/>
                <w:color w:val="000000"/>
                <w:kern w:val="0"/>
                <w:sz w:val="18"/>
                <w:szCs w:val="18"/>
              </w:rPr>
              <w:t>2.5</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3.5</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三级重大危险源</w:t>
            </w: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A*C2.5</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四级重大危险源</w:t>
            </w:r>
            <w:r>
              <w:rPr>
                <w:rFonts w:hint="eastAsia" w:ascii="微软雅黑" w:hAnsi="微软雅黑" w:eastAsia="微软雅黑" w:cs="微软雅黑"/>
                <w:color w:val="000000"/>
                <w:kern w:val="0"/>
                <w:sz w:val="18"/>
                <w:szCs w:val="18"/>
              </w:rPr>
              <w:t>A*&lt;1.5</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其中</w:t>
            </w:r>
            <w:r>
              <w:rPr>
                <w:rFonts w:hint="eastAsia" w:ascii="微软雅黑" w:hAnsi="微软雅黑" w:eastAsia="微软雅黑" w:cs="微软雅黑"/>
                <w:color w:val="000000"/>
                <w:kern w:val="0"/>
                <w:sz w:val="18"/>
                <w:szCs w:val="18"/>
              </w:rPr>
              <w:t>A*=1gB</w:t>
            </w:r>
            <w:r>
              <w:rPr>
                <w:rFonts w:hint="eastAsia" w:ascii="微软雅黑" w:hAnsi="微软雅黑" w:eastAsia="微软雅黑" w:cs="微软雅黑"/>
                <w:color w:val="000000"/>
                <w:kern w:val="0"/>
                <w:sz w:val="18"/>
                <w:szCs w:val="18"/>
                <w:vertAlign w:val="subscript"/>
              </w:rPr>
              <w:t>1</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B</w:t>
            </w:r>
            <w:r>
              <w:rPr>
                <w:rFonts w:hint="eastAsia" w:ascii="微软雅黑" w:hAnsi="微软雅黑" w:eastAsia="微软雅黑" w:cs="微软雅黑"/>
                <w:color w:val="000000"/>
                <w:kern w:val="0"/>
                <w:sz w:val="18"/>
                <w:szCs w:val="18"/>
                <w:vertAlign w:val="subscript"/>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是以</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万元为缩尺单位的单元固有危险性的评分值</w:t>
            </w:r>
          </w:p>
        </w:tc>
      </w:tr>
      <w:tr>
        <w:tblPrEx>
          <w:tblLayout w:type="fixed"/>
          <w:tblCellMar>
            <w:top w:w="0" w:type="dxa"/>
            <w:left w:w="0" w:type="dxa"/>
            <w:bottom w:w="0" w:type="dxa"/>
            <w:right w:w="0" w:type="dxa"/>
          </w:tblCellMar>
        </w:tblPrEx>
        <w:trPr>
          <w:trHeight w:val="787" w:hRule="atLeast"/>
        </w:trPr>
        <w:tc>
          <w:tcPr>
            <w:tcW w:w="792"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险源受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控标准</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一级危险源在</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级以上；二级危险源在</w:t>
            </w:r>
            <w:r>
              <w:rPr>
                <w:rFonts w:hint="eastAsia" w:ascii="微软雅黑" w:hAnsi="微软雅黑" w:eastAsia="微软雅黑" w:cs="微软雅黑"/>
                <w:color w:val="000000"/>
                <w:kern w:val="0"/>
                <w:sz w:val="18"/>
                <w:szCs w:val="18"/>
              </w:rPr>
              <w:t>B</w:t>
            </w:r>
            <w:r>
              <w:rPr>
                <w:rFonts w:hint="eastAsia" w:ascii="微软雅黑" w:hAnsi="微软雅黑" w:eastAsia="微软雅黑" w:cs="微软雅黑"/>
                <w:color w:val="000000"/>
                <w:kern w:val="0"/>
                <w:sz w:val="18"/>
                <w:szCs w:val="18"/>
              </w:rPr>
              <w:t>级以上；二三级和四级危险源在</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级以上</w:t>
            </w:r>
          </w:p>
          <w:p>
            <w:pPr>
              <w:autoSpaceDE w:val="0"/>
              <w:autoSpaceDN w:val="0"/>
              <w:rPr>
                <w:rFonts w:hint="eastAsia" w:ascii="微软雅黑" w:hAnsi="微软雅黑" w:eastAsia="微软雅黑" w:cs="微软雅黑"/>
                <w:color w:val="000000"/>
                <w:kern w:val="0"/>
                <w:sz w:val="18"/>
                <w:szCs w:val="18"/>
              </w:rPr>
            </w:pP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重大危险源的监控监管(表1—7)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1—7重大危险源的监控监管</w:t>
      </w:r>
    </w:p>
    <w:tbl>
      <w:tblPr>
        <w:tblStyle w:val="4"/>
        <w:tblW w:w="8409" w:type="dxa"/>
        <w:tblInd w:w="15" w:type="dxa"/>
        <w:tblLayout w:type="fixed"/>
        <w:tblCellMar>
          <w:top w:w="0" w:type="dxa"/>
          <w:left w:w="0" w:type="dxa"/>
          <w:bottom w:w="0" w:type="dxa"/>
          <w:right w:w="0" w:type="dxa"/>
        </w:tblCellMar>
      </w:tblPr>
      <w:tblGrid>
        <w:gridCol w:w="782"/>
        <w:gridCol w:w="797"/>
        <w:gridCol w:w="6830"/>
      </w:tblGrid>
      <w:tr>
        <w:tblPrEx>
          <w:tblLayout w:type="fixed"/>
          <w:tblCellMar>
            <w:top w:w="0" w:type="dxa"/>
            <w:left w:w="0" w:type="dxa"/>
            <w:bottom w:w="0" w:type="dxa"/>
            <w:right w:w="0" w:type="dxa"/>
          </w:tblCellMar>
        </w:tblPrEx>
        <w:trPr>
          <w:trHeight w:val="30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82"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建立实时监控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预警系统的作用</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对危险源对象的安全状况进行实时监控，严密监视那些可能使危险源对象的安全状态向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事故临界状态转化的各种参数变化趋势。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及时给出预警信息或应急控制指令，把事故隐患消灭在萌芽状态</w:t>
            </w:r>
          </w:p>
        </w:tc>
      </w:tr>
      <w:tr>
        <w:tblPrEx>
          <w:tblLayout w:type="fixed"/>
          <w:tblCellMar>
            <w:top w:w="0" w:type="dxa"/>
            <w:left w:w="0" w:type="dxa"/>
            <w:bottom w:w="0" w:type="dxa"/>
            <w:right w:w="0" w:type="dxa"/>
          </w:tblCellMar>
        </w:tblPrEx>
        <w:trPr>
          <w:trHeight w:val="796" w:hRule="atLeast"/>
        </w:trPr>
        <w:tc>
          <w:tcPr>
            <w:tcW w:w="78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源监管的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主要思路</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安全生产监督管理部门依据有关法规，对存在重大危险源的企业实施分级管理。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与技术中介组织配合，根据企业的行业、规模等具体情况，提供监控的管理及技术指导</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1281" w:hRule="atLeast"/>
        </w:trPr>
        <w:tc>
          <w:tcPr>
            <w:tcW w:w="78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源宏观监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控系统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城市重大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危险源监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管子系统</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系统的目标和任务主要包括：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信息的管理。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危险程度评估的计算机辅助分析。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事故应急救援预案的形象表述。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为政府部门宏观管理和政府决策提供准确、全面、形象的信息</w:t>
            </w:r>
          </w:p>
        </w:tc>
      </w:tr>
      <w:tr>
        <w:tblPrEx>
          <w:tblLayout w:type="fixed"/>
          <w:tblCellMar>
            <w:top w:w="0" w:type="dxa"/>
            <w:left w:w="0" w:type="dxa"/>
            <w:bottom w:w="0" w:type="dxa"/>
            <w:right w:w="0" w:type="dxa"/>
          </w:tblCellMar>
        </w:tblPrEx>
        <w:trPr>
          <w:trHeight w:val="633" w:hRule="atLeast"/>
        </w:trPr>
        <w:tc>
          <w:tcPr>
            <w:tcW w:w="78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目的</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监视其正常情况下危险源对象的运行情况及状态，并对其实时和历史趋势做一个整体评判，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对系统的下一时刻做出一种超前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或提前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的预警行为</w:t>
            </w:r>
          </w:p>
        </w:tc>
      </w:tr>
      <w:tr>
        <w:tblPrEx>
          <w:tblLayout w:type="fixed"/>
          <w:tblCellMar>
            <w:top w:w="0" w:type="dxa"/>
            <w:left w:w="0" w:type="dxa"/>
            <w:bottom w:w="0" w:type="dxa"/>
            <w:right w:w="0" w:type="dxa"/>
          </w:tblCellMar>
        </w:tblPrEx>
        <w:trPr>
          <w:trHeight w:val="1118" w:hRule="atLeast"/>
        </w:trPr>
        <w:tc>
          <w:tcPr>
            <w:tcW w:w="782"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计算机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监控预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警系统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7"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阶段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正常运行阶段。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事故</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临界状态。当被实时监测的危险源对象的各种参数超出正常值的界限时，如不采取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应急控制措施，就会引发火灾、爆炸及重大毒物泄漏事故。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事故初始阶段</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安全生产检查</w:t>
      </w:r>
      <w:r>
        <w:rPr>
          <w:rFonts w:hint="eastAsia" w:ascii="微软雅黑" w:hAnsi="微软雅黑" w:eastAsia="微软雅黑" w:cs="微软雅黑"/>
          <w:color w:val="000000"/>
          <w:sz w:val="18"/>
          <w:szCs w:val="18"/>
        </w:rPr>
        <w:t>(表1—8)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1—8安全生产检查</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CellMar>
            <w:top w:w="0" w:type="dxa"/>
            <w:left w:w="0" w:type="dxa"/>
            <w:bottom w:w="0" w:type="dxa"/>
            <w:right w:w="0" w:type="dxa"/>
          </w:tblCellMar>
        </w:tblPrEx>
        <w:trPr>
          <w:trHeight w:val="30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55"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工作重点</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辨识安全生产管理工作存在的漏洞和死角，检查生产现场安全防护设施、作业环境是否存在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不安全状态，现场作业人员的行为是否符合安全规范，以及设备、系统运行状况是否符合现场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规程的要求等</w:t>
            </w:r>
          </w:p>
        </w:tc>
      </w:tr>
      <w:tr>
        <w:tblPrEx>
          <w:tblLayout w:type="fixed"/>
          <w:tblCellMar>
            <w:top w:w="0" w:type="dxa"/>
            <w:left w:w="0" w:type="dxa"/>
            <w:bottom w:w="0" w:type="dxa"/>
            <w:right w:w="0" w:type="dxa"/>
          </w:tblCellMar>
        </w:tblPrEx>
        <w:trPr>
          <w:trHeight w:val="638"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目的</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不断堵塞管理漏洞，改善劳动作业环境，规范作业人员的行为，保证设备系统的安全、可靠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运行，实现安全生产</w:t>
            </w:r>
          </w:p>
        </w:tc>
      </w:tr>
      <w:tr>
        <w:tblPrEx>
          <w:tblLayout w:type="fixed"/>
          <w:tblCellMar>
            <w:top w:w="0" w:type="dxa"/>
            <w:left w:w="0" w:type="dxa"/>
            <w:bottom w:w="0" w:type="dxa"/>
            <w:right w:w="0" w:type="dxa"/>
          </w:tblCellMar>
        </w:tblPrEx>
        <w:trPr>
          <w:trHeight w:val="643"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生产检查</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具有组织规模大、检查范围广、有深度，能及时发现并解决问题等特点</w:t>
            </w:r>
          </w:p>
        </w:tc>
      </w:tr>
      <w:tr>
        <w:tblPrEx>
          <w:tblLayout w:type="fixed"/>
          <w:tblCellMar>
            <w:top w:w="0" w:type="dxa"/>
            <w:left w:w="0" w:type="dxa"/>
            <w:bottom w:w="0" w:type="dxa"/>
            <w:right w:w="0" w:type="dxa"/>
          </w:tblCellMar>
        </w:tblPrEx>
        <w:trPr>
          <w:trHeight w:val="638"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经常性安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全生产检查</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包括交接班检查、班中检查、特殊检查等形式</w:t>
            </w:r>
          </w:p>
        </w:tc>
      </w:tr>
      <w:tr>
        <w:tblPrEx>
          <w:tblLayout w:type="fixed"/>
          <w:tblCellMar>
            <w:top w:w="0" w:type="dxa"/>
            <w:left w:w="0" w:type="dxa"/>
            <w:bottom w:w="0" w:type="dxa"/>
            <w:right w:w="0" w:type="dxa"/>
          </w:tblCellMar>
        </w:tblPrEx>
        <w:trPr>
          <w:trHeight w:val="801"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类型</w:t>
            </w: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季节性及节假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日前后安全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生产检查</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主要包括冬季防冻保温、防火、防煤气中毒，夏季防暑降温、防汛、防雷电等检查</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38"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专业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项</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全生产检查</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具有较强的针对性和专业要求，用于检查难度较大的项目</w:t>
            </w:r>
          </w:p>
        </w:tc>
      </w:tr>
      <w:tr>
        <w:tblPrEx>
          <w:tblLayout w:type="fixed"/>
          <w:tblCellMar>
            <w:top w:w="0" w:type="dxa"/>
            <w:left w:w="0" w:type="dxa"/>
            <w:bottom w:w="0" w:type="dxa"/>
            <w:right w:w="0" w:type="dxa"/>
          </w:tblCellMar>
        </w:tblPrEx>
        <w:trPr>
          <w:trHeight w:val="628" w:hRule="atLeast"/>
        </w:trPr>
        <w:tc>
          <w:tcPr>
            <w:tcW w:w="46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综合性安全生产检查。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职工代表不定期对安全生产的巡查</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19" w:type="dxa"/>
        <w:tblInd w:w="15" w:type="dxa"/>
        <w:tblLayout w:type="fixed"/>
        <w:tblCellMar>
          <w:top w:w="0" w:type="dxa"/>
          <w:left w:w="0" w:type="dxa"/>
          <w:bottom w:w="0" w:type="dxa"/>
          <w:right w:w="0" w:type="dxa"/>
        </w:tblCellMar>
      </w:tblPr>
      <w:tblGrid>
        <w:gridCol w:w="475"/>
        <w:gridCol w:w="1113"/>
        <w:gridCol w:w="6831"/>
      </w:tblGrid>
      <w:tr>
        <w:tblPrEx>
          <w:tblLayout w:type="fixed"/>
          <w:tblCellMar>
            <w:top w:w="0" w:type="dxa"/>
            <w:left w:w="0" w:type="dxa"/>
            <w:bottom w:w="0" w:type="dxa"/>
            <w:right w:w="0" w:type="dxa"/>
          </w:tblCellMar>
        </w:tblPrEx>
        <w:trPr>
          <w:trHeight w:val="29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79"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软件系统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查思想、查意识、查制度、查管理、查事故处理、查隐患、查整改</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和硬件系统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查生产设备、查辅助设施、查安全设施、查作业环境</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目前国家有关规定要求非矿山企业强制性检查的项目有：锅炉、压力容器、压力管道、高压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医用氧舱、起重机、电梯、自动扶梯、施工升降机、简易升降机、防爆电器、厂内机动车辆、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客运索道、游艺机及游乐设施等；作业场所的粉尘、噪声、振动、辐射、高温低温和有毒物质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的浓度等</w:t>
            </w:r>
          </w:p>
        </w:tc>
      </w:tr>
      <w:tr>
        <w:tblPrEx>
          <w:tblLayout w:type="fixed"/>
          <w:tblCellMar>
            <w:top w:w="0" w:type="dxa"/>
            <w:left w:w="0" w:type="dxa"/>
            <w:bottom w:w="0" w:type="dxa"/>
            <w:right w:w="0" w:type="dxa"/>
          </w:tblCellMar>
        </w:tblPrEx>
        <w:trPr>
          <w:trHeight w:val="331"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常规检查</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主要依靠安全检查人员的经验和能力，检查的结果直接受安全检查人员个人素质的影响</w:t>
            </w:r>
          </w:p>
        </w:tc>
      </w:tr>
      <w:tr>
        <w:tblPrEx>
          <w:tblLayout w:type="fixed"/>
          <w:tblCellMar>
            <w:top w:w="0" w:type="dxa"/>
            <w:left w:w="0" w:type="dxa"/>
            <w:bottom w:w="0" w:type="dxa"/>
            <w:right w:w="0" w:type="dxa"/>
          </w:tblCellMar>
        </w:tblPrEx>
        <w:trPr>
          <w:trHeight w:val="1281"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安全检查表法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为使安全检查工作更加规范，将个人的行为对检查结果的影响减到最小，常采用安全检查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编制安全检查表应依据国家有关法律法规，生产经营单位现行有效的有关标准、规程、管理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制度，有关事故教训，生产经营单位安全管理文化、理念，反事故技术措施和安全措施计划，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季节性、地理、气候特点等</w:t>
            </w:r>
          </w:p>
        </w:tc>
      </w:tr>
      <w:tr>
        <w:tblPrEx>
          <w:tblLayout w:type="fixed"/>
          <w:tblCellMar>
            <w:top w:w="0" w:type="dxa"/>
            <w:left w:w="0" w:type="dxa"/>
            <w:bottom w:w="0" w:type="dxa"/>
            <w:right w:w="0" w:type="dxa"/>
          </w:tblCellMar>
        </w:tblPrEx>
        <w:trPr>
          <w:trHeight w:val="624"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仪器检查及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数据分析法</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对没有在线数据检测系统的机器、设备、系统，只能通过仪器检查法来进行检验与测量</w:t>
            </w:r>
          </w:p>
        </w:tc>
      </w:tr>
      <w:tr>
        <w:tblPrEx>
          <w:tblLayout w:type="fixed"/>
          <w:tblCellMar>
            <w:top w:w="0" w:type="dxa"/>
            <w:left w:w="0" w:type="dxa"/>
            <w:bottom w:w="0" w:type="dxa"/>
            <w:right w:w="0" w:type="dxa"/>
          </w:tblCellMar>
        </w:tblPrEx>
        <w:trPr>
          <w:trHeight w:val="1128"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安全检查准备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主要掌握的是：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了解检查对象的工艺流程、生产情况、可能出现危险和危害的情况。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准备必要的检测工具、仪器、书写表格或记录本。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挑选和训练检查人员并进行必要的分工等</w:t>
            </w:r>
          </w:p>
        </w:tc>
      </w:tr>
      <w:tr>
        <w:tblPrEx>
          <w:tblLayout w:type="fixed"/>
          <w:tblCellMar>
            <w:top w:w="0" w:type="dxa"/>
            <w:left w:w="0" w:type="dxa"/>
            <w:bottom w:w="0" w:type="dxa"/>
            <w:right w:w="0" w:type="dxa"/>
          </w:tblCellMar>
        </w:tblPrEx>
        <w:trPr>
          <w:trHeight w:val="801"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实施安全检查</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通过访谈、查阅文件和记录、现场观察、仪器测量的方式获取信息。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其中现场观察主要对生产设备、安全防护设施、作业环境、人员操作等进行观察，寻找不安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全因素、事故隐患、事故征兆等</w:t>
            </w:r>
          </w:p>
        </w:tc>
      </w:tr>
      <w:tr>
        <w:tblPrEx>
          <w:tblLayout w:type="fixed"/>
          <w:tblCellMar>
            <w:top w:w="0" w:type="dxa"/>
            <w:left w:w="0" w:type="dxa"/>
            <w:bottom w:w="0" w:type="dxa"/>
            <w:right w:w="0" w:type="dxa"/>
          </w:tblCellMar>
        </w:tblPrEx>
        <w:trPr>
          <w:trHeight w:val="307"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综合分析</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经现场检查和数据分析后，检查人员应对检查情况进行综合分析，提出检查的结论和意见</w:t>
            </w:r>
          </w:p>
        </w:tc>
      </w:tr>
      <w:tr>
        <w:tblPrEx>
          <w:tblLayout w:type="fixed"/>
          <w:tblCellMar>
            <w:top w:w="0" w:type="dxa"/>
            <w:left w:w="0" w:type="dxa"/>
            <w:bottom w:w="0" w:type="dxa"/>
            <w:right w:w="0" w:type="dxa"/>
          </w:tblCellMar>
        </w:tblPrEx>
        <w:trPr>
          <w:trHeight w:val="79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信息反馈及持续改进</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对安全检查中经常发现的问题或反复发现的问题，生产经营单位应从规章制度的健全和完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善、从业人员的安全教育培训、设备系统的更新改造、加强现场检查和监督等环节人手。做到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持续改进，不断提高安全生产管理水平，防范生产安全事故的发生</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隐患排查治理(表1—9)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9隐患排查治理</w:t>
      </w:r>
    </w:p>
    <w:tbl>
      <w:tblPr>
        <w:tblStyle w:val="4"/>
        <w:tblW w:w="8409" w:type="dxa"/>
        <w:tblInd w:w="15" w:type="dxa"/>
        <w:tblLayout w:type="fixed"/>
        <w:tblCellMar>
          <w:top w:w="0" w:type="dxa"/>
          <w:left w:w="0" w:type="dxa"/>
          <w:bottom w:w="0" w:type="dxa"/>
          <w:right w:w="0" w:type="dxa"/>
        </w:tblCellMar>
      </w:tblPr>
      <w:tblGrid>
        <w:gridCol w:w="465"/>
        <w:gridCol w:w="1114"/>
        <w:gridCol w:w="9"/>
        <w:gridCol w:w="6821"/>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3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定义</w:t>
            </w: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一般事故隐患</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危害和整改难度较小，发现后能够立即整改排除的隐患</w:t>
            </w:r>
          </w:p>
        </w:tc>
      </w:tr>
      <w:tr>
        <w:tblPrEx>
          <w:tblLayout w:type="fixed"/>
          <w:tblCellMar>
            <w:top w:w="0" w:type="dxa"/>
            <w:left w:w="0" w:type="dxa"/>
            <w:bottom w:w="0" w:type="dxa"/>
            <w:right w:w="0" w:type="dxa"/>
          </w:tblCellMar>
        </w:tblPrEx>
        <w:trPr>
          <w:trHeight w:val="633"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w:t>
            </w:r>
          </w:p>
          <w:p>
            <w:pPr>
              <w:autoSpaceDE w:val="0"/>
              <w:autoSpaceDN w:val="0"/>
              <w:rPr>
                <w:rFonts w:hint="eastAsia" w:ascii="微软雅黑" w:hAnsi="微软雅黑" w:eastAsia="微软雅黑" w:cs="微软雅黑"/>
                <w:color w:val="000000"/>
                <w:kern w:val="0"/>
                <w:sz w:val="18"/>
                <w:szCs w:val="18"/>
              </w:rPr>
            </w:pP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重大事故隐患</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危害和整改难度较大．应当全部或者局部停产停业，并经过一定时间整改治理方能排除的隐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患，或者因外部因素影响致使生产经营单位自身难以排除的隐患</w:t>
            </w:r>
          </w:p>
        </w:tc>
      </w:tr>
      <w:tr>
        <w:tblPrEx>
          <w:tblLayout w:type="fixed"/>
          <w:tblCellMar>
            <w:top w:w="0" w:type="dxa"/>
            <w:left w:w="0" w:type="dxa"/>
            <w:bottom w:w="0" w:type="dxa"/>
            <w:right w:w="0" w:type="dxa"/>
          </w:tblCellMar>
        </w:tblPrEx>
        <w:trPr>
          <w:trHeight w:val="2073"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的主要职责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依照法律、法规、规章、标准和规程的要求从事生产经营活动。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事故隐患排查、治理和防控的责任主体。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保证事故隐患排查治理所需的资金，建立资金使用专项制度。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建立事故隐患报告和举报奖励制度。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对承包、承租单位的事故隐患排查治理负有统一协调和监督管理的职责。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一般事故隐患由生产经营单位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车间、分厂、区队等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负责人或者有关人员立即组织整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改。重大事故隐患由生产经营单位主要负责人组织制订并实施事故隐患治理方案。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生产经营单位应当加强对自然灾害的预防</w:t>
            </w:r>
          </w:p>
        </w:tc>
      </w:tr>
      <w:tr>
        <w:tblPrEx>
          <w:tblLayout w:type="fixed"/>
          <w:tblCellMar>
            <w:top w:w="0" w:type="dxa"/>
            <w:left w:w="0" w:type="dxa"/>
            <w:bottom w:w="0" w:type="dxa"/>
            <w:right w:w="0" w:type="dxa"/>
          </w:tblCellMar>
        </w:tblPrEx>
        <w:trPr>
          <w:trHeight w:val="29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814"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对检查过程中发现的重大事故隐患，应当下达整改指令书，并建立信息管理台账。必要时，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报告同级人民政府并对重大事故隐患实行挂牌督办。</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对挂牌督办并采取全部或者局部停产停业治理的重大事故隐患，安全监管监察部门收到生产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经营单位恢复生产的申请报告后，应当在</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日内进行现场审查。审查合格的，对事故隐患进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行核销，同意恢复生产经营；不合格的，依法责令改正或者下达停产整改指令。对整改无望或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者拒不执行整改指令的，依法实施行政处罚；不具备安全生产条件的，依法提请县级以上人民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政府按照国务院规定的权限予以关闭</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重大事故隐患报告及治理方案内容(表1—10)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1—10重大事故隐患报告及治理方案内容</w:t>
      </w:r>
    </w:p>
    <w:tbl>
      <w:tblPr>
        <w:tblStyle w:val="4"/>
        <w:tblW w:w="8400" w:type="dxa"/>
        <w:tblInd w:w="15" w:type="dxa"/>
        <w:tblLayout w:type="fixed"/>
        <w:tblCellMar>
          <w:top w:w="0" w:type="dxa"/>
          <w:left w:w="0" w:type="dxa"/>
          <w:bottom w:w="0" w:type="dxa"/>
          <w:right w:w="0" w:type="dxa"/>
        </w:tblCellMar>
      </w:tblPr>
      <w:tblGrid>
        <w:gridCol w:w="1579"/>
        <w:gridCol w:w="6821"/>
      </w:tblGrid>
      <w:tr>
        <w:tblPrEx>
          <w:tblLayout w:type="fixed"/>
          <w:tblCellMar>
            <w:top w:w="0" w:type="dxa"/>
            <w:left w:w="0" w:type="dxa"/>
            <w:bottom w:w="0" w:type="dxa"/>
            <w:right w:w="0" w:type="dxa"/>
          </w:tblCellMar>
        </w:tblPrEx>
        <w:trPr>
          <w:trHeight w:val="30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报告内容</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隐患的现状及其产生原因。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隐患的危害程度和整改难易程度分析。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隐患的治理方案</w:t>
            </w:r>
          </w:p>
        </w:tc>
      </w:tr>
      <w:tr>
        <w:tblPrEx>
          <w:tblLayout w:type="fixed"/>
          <w:tblCellMar>
            <w:top w:w="0" w:type="dxa"/>
            <w:left w:w="0" w:type="dxa"/>
            <w:bottom w:w="0" w:type="dxa"/>
            <w:right w:w="0" w:type="dxa"/>
          </w:tblCellMar>
        </w:tblPrEx>
        <w:trPr>
          <w:trHeight w:val="633"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治理方案内容</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治理的目标和任务；采取的方法和措施；经费和物资的落实；负责治理的机构和人员；治理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的时限和要求；安全措施和应急预案</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安全评价的分类(表1</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1-11安全评价的分类</w:t>
      </w:r>
    </w:p>
    <w:tbl>
      <w:tblPr>
        <w:tblStyle w:val="4"/>
        <w:tblW w:w="8400" w:type="dxa"/>
        <w:tblInd w:w="15" w:type="dxa"/>
        <w:tblLayout w:type="fixed"/>
        <w:tblCellMar>
          <w:top w:w="0" w:type="dxa"/>
          <w:left w:w="0" w:type="dxa"/>
          <w:bottom w:w="0" w:type="dxa"/>
          <w:right w:w="0" w:type="dxa"/>
        </w:tblCellMar>
      </w:tblPr>
      <w:tblGrid>
        <w:gridCol w:w="465"/>
        <w:gridCol w:w="1114"/>
        <w:gridCol w:w="6821"/>
      </w:tblGrid>
      <w:tr>
        <w:tblPrEx>
          <w:tblLayout w:type="fixed"/>
          <w:tblCellMar>
            <w:top w:w="0" w:type="dxa"/>
            <w:left w:w="0" w:type="dxa"/>
            <w:bottom w:w="0" w:type="dxa"/>
            <w:right w:w="0" w:type="dxa"/>
          </w:tblCellMar>
        </w:tblPrEx>
        <w:trPr>
          <w:trHeight w:val="30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6"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预评</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在项目建设前，根据建设项目可行性研究报告的内容，分析和预测该建设项目可能存在的危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险、有害因素的种类和程度．提出合理可行的安全对策措施和建议，用以指导建设项目的初步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w:t>
            </w:r>
          </w:p>
        </w:tc>
      </w:tr>
      <w:tr>
        <w:tblPrEx>
          <w:tblLayout w:type="fixed"/>
          <w:tblCellMar>
            <w:top w:w="0" w:type="dxa"/>
            <w:left w:w="0" w:type="dxa"/>
            <w:bottom w:w="0" w:type="dxa"/>
            <w:right w:w="0" w:type="dxa"/>
          </w:tblCellMar>
        </w:tblPrEx>
        <w:trPr>
          <w:trHeight w:val="312"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价</w:t>
            </w: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危险及有害因素识别、危险度评价和安全对策措施及建议</w:t>
            </w:r>
          </w:p>
        </w:tc>
      </w:tr>
      <w:tr>
        <w:tblPrEx>
          <w:tblLayout w:type="fixed"/>
          <w:tblCellMar>
            <w:top w:w="0" w:type="dxa"/>
            <w:left w:w="0" w:type="dxa"/>
            <w:bottom w:w="0" w:type="dxa"/>
            <w:right w:w="0" w:type="dxa"/>
          </w:tblCellMar>
        </w:tblPrEx>
        <w:trPr>
          <w:trHeight w:val="32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时间</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在建设项目竣工后正式生产运行前或工业园区建设完成后</w:t>
            </w:r>
          </w:p>
        </w:tc>
      </w:tr>
      <w:tr>
        <w:tblPrEx>
          <w:tblLayout w:type="fixed"/>
          <w:tblCellMar>
            <w:top w:w="0" w:type="dxa"/>
            <w:left w:w="0" w:type="dxa"/>
            <w:bottom w:w="0" w:type="dxa"/>
            <w:right w:w="0" w:type="dxa"/>
          </w:tblCellMar>
        </w:tblPrEx>
        <w:trPr>
          <w:trHeight w:val="638"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验收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前期准备；危险、有害因素辨识；划分评价单元；选择评价方法，定性、定量评价；提出安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全管理对策措施及建议；做出安全验收评价结论；编制安全验收评价报告等</w:t>
            </w:r>
          </w:p>
        </w:tc>
      </w:tr>
      <w:tr>
        <w:tblPrEx>
          <w:tblLayout w:type="fixed"/>
          <w:tblCellMar>
            <w:top w:w="0" w:type="dxa"/>
            <w:left w:w="0" w:type="dxa"/>
            <w:bottom w:w="0" w:type="dxa"/>
            <w:right w:w="0" w:type="dxa"/>
          </w:tblCellMar>
        </w:tblPrEx>
        <w:trPr>
          <w:trHeight w:val="638"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安全现状评价</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适用于对一个生产经营单位或一个工业园区的评价，也适用于某一特定的生产方式、生产工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艺、生产装置或作业场所的评价</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安全评价的程序(表1—12)</w:t>
      </w:r>
    </w:p>
    <w:tbl>
      <w:tblPr>
        <w:tblStyle w:val="4"/>
        <w:tblW w:w="8409" w:type="dxa"/>
        <w:tblInd w:w="15" w:type="dxa"/>
        <w:tblLayout w:type="fixed"/>
        <w:tblCellMar>
          <w:top w:w="0" w:type="dxa"/>
          <w:left w:w="0" w:type="dxa"/>
          <w:bottom w:w="0" w:type="dxa"/>
          <w:right w:w="0" w:type="dxa"/>
        </w:tblCellMar>
      </w:tblPr>
      <w:tblGrid>
        <w:gridCol w:w="1588"/>
        <w:gridCol w:w="6812"/>
        <w:gridCol w:w="9"/>
      </w:tblGrid>
      <w:tr>
        <w:tblPrEx>
          <w:tblLayout w:type="fixed"/>
          <w:tblCellMar>
            <w:top w:w="0" w:type="dxa"/>
            <w:left w:w="0" w:type="dxa"/>
            <w:bottom w:w="0" w:type="dxa"/>
            <w:right w:w="0" w:type="dxa"/>
          </w:tblCellMar>
        </w:tblPrEx>
        <w:trPr>
          <w:gridAfter w:val="1"/>
          <w:wAfter w:w="9" w:type="dxa"/>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程序</w:t>
            </w:r>
          </w:p>
        </w:tc>
        <w:tc>
          <w:tcPr>
            <w:tcW w:w="6812"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前期准备</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明确被评价对象，备齐有关安全评价的设备、工具，收集国内外相关法律法规等技术资料</w:t>
            </w:r>
          </w:p>
        </w:tc>
      </w:tr>
      <w:tr>
        <w:tblPrEx>
          <w:tblLayout w:type="fixed"/>
          <w:tblCellMar>
            <w:top w:w="0" w:type="dxa"/>
            <w:left w:w="0" w:type="dxa"/>
            <w:bottom w:w="0" w:type="dxa"/>
            <w:right w:w="0" w:type="dxa"/>
          </w:tblCellMar>
        </w:tblPrEx>
        <w:trPr>
          <w:gridAfter w:val="1"/>
          <w:wAfter w:w="9" w:type="dxa"/>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辨识与分析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危险、有害因素</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确定危险、有害因素存在的部位、存在的方式和事故发生的途径及其变化的规律</w:t>
            </w:r>
          </w:p>
        </w:tc>
      </w:tr>
      <w:tr>
        <w:tblPrEx>
          <w:tblLayout w:type="fixed"/>
          <w:tblCellMar>
            <w:top w:w="0" w:type="dxa"/>
            <w:left w:w="0" w:type="dxa"/>
            <w:bottom w:w="0" w:type="dxa"/>
            <w:right w:w="0" w:type="dxa"/>
          </w:tblCellMar>
        </w:tblPrEx>
        <w:trPr>
          <w:gridAfter w:val="1"/>
          <w:wAfter w:w="9" w:type="dxa"/>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划分评价单元</w:t>
            </w:r>
          </w:p>
        </w:tc>
        <w:tc>
          <w:tcPr>
            <w:tcW w:w="6812"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应科学、合理，便于实施评价、相对独立且具有明显的特征界限</w:t>
            </w:r>
          </w:p>
        </w:tc>
      </w:tr>
      <w:tr>
        <w:tblPrEx>
          <w:tblLayout w:type="fixed"/>
          <w:tblCellMar>
            <w:top w:w="0" w:type="dxa"/>
            <w:left w:w="0" w:type="dxa"/>
            <w:bottom w:w="0" w:type="dxa"/>
            <w:right w:w="0" w:type="dxa"/>
          </w:tblCellMar>
        </w:tblPrEx>
        <w:trPr>
          <w:trHeight w:val="29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程序</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定性、定量评价</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根据评价单元的特征，选择合理的评价方法，对评价对象发生事故的可能性及其严重程度进</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行定性、定量评价</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安全对策措施建议</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遵循针对性、技术可行性、经济合理性的原则，提出消除或减弱危险、有害因素的技术和管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理措施建议</w:t>
            </w:r>
          </w:p>
        </w:tc>
      </w:tr>
      <w:tr>
        <w:tblPrEx>
          <w:tblLayout w:type="fixed"/>
          <w:tblCellMar>
            <w:top w:w="0" w:type="dxa"/>
            <w:left w:w="0" w:type="dxa"/>
            <w:bottom w:w="0" w:type="dxa"/>
            <w:right w:w="0" w:type="dxa"/>
          </w:tblCellMar>
        </w:tblPrEx>
        <w:trPr>
          <w:trHeight w:val="31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安全评价结论</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依据的原则为客观、公正、真实</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安全评价报告的编制</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作用</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：安全评价过程的具体体现和概况性总结。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作用</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：评价对象完善自身安全管理、应用安全技术等方面的重要参考资料。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作用</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：由第三方出具的技术性咨询文件</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安全评价的内容(表1—13)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1—13安全评价的内容</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CellMar>
            <w:top w:w="0" w:type="dxa"/>
            <w:left w:w="0" w:type="dxa"/>
            <w:bottom w:w="0" w:type="dxa"/>
            <w:right w:w="0" w:type="dxa"/>
          </w:tblCellMar>
        </w:tblPrEx>
        <w:trPr>
          <w:trHeight w:val="30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预评</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前期准备工作</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明确评价对象和评价范围；组建评价组；收集国内外相关法律法规、标准、行政规章、规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范；收集并分析评价对象的基础资料、相关事故案例；对类比工程进行实地调查等</w:t>
            </w:r>
          </w:p>
        </w:tc>
      </w:tr>
      <w:tr>
        <w:tblPrEx>
          <w:tblLayout w:type="fixed"/>
          <w:tblCellMar>
            <w:top w:w="0" w:type="dxa"/>
            <w:left w:w="0" w:type="dxa"/>
            <w:bottom w:w="0" w:type="dxa"/>
            <w:right w:w="0" w:type="dxa"/>
          </w:tblCellMar>
        </w:tblPrEx>
        <w:trPr>
          <w:trHeight w:val="321"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价内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评价单元划分</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依据的原则：自然条件、基本工艺条件、危险和有害因素分布及状况、便于实施评价</w:t>
            </w:r>
          </w:p>
        </w:tc>
      </w:tr>
      <w:tr>
        <w:tblPrEx>
          <w:tblLayout w:type="fixed"/>
          <w:tblCellMar>
            <w:top w:w="0" w:type="dxa"/>
            <w:left w:w="0" w:type="dxa"/>
            <w:bottom w:w="0" w:type="dxa"/>
            <w:right w:w="0" w:type="dxa"/>
          </w:tblCellMar>
        </w:tblPrEx>
        <w:trPr>
          <w:trHeight w:val="32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评价对象前期</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安全预评价、可行性研究报告、初步设计中安全卫生专篇等</w:t>
            </w:r>
          </w:p>
        </w:tc>
      </w:tr>
      <w:tr>
        <w:tblPrEx>
          <w:tblLayout w:type="fixed"/>
          <w:tblCellMar>
            <w:top w:w="0" w:type="dxa"/>
            <w:left w:w="0" w:type="dxa"/>
            <w:bottom w:w="0" w:type="dxa"/>
            <w:right w:w="0" w:type="dxa"/>
          </w:tblCellMar>
        </w:tblPrEx>
        <w:trPr>
          <w:trHeight w:val="796"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验收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划分评价单元</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法律、法规等方面的符合性；设施、设备、装置及工艺方面的安全性；物料、产品安全性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能；公用工程、辅助设施配套性；周边环境适应性和应急救援有效性；人员管理和安全培训方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面充分性等</w:t>
            </w:r>
          </w:p>
        </w:tc>
      </w:tr>
      <w:tr>
        <w:tblPrEx>
          <w:tblLayout w:type="fixed"/>
          <w:tblCellMar>
            <w:top w:w="0" w:type="dxa"/>
            <w:left w:w="0" w:type="dxa"/>
            <w:bottom w:w="0" w:type="dxa"/>
            <w:right w:w="0" w:type="dxa"/>
          </w:tblCellMar>
        </w:tblPrEx>
        <w:trPr>
          <w:trHeight w:val="633"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安全验收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评价结论</w:t>
            </w: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符合性评价的综合结果；评价对象运行后存在的危险、有害因素及其危险危害程度；明确给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出评价对象是否具备安全验收的条件</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安全评价方法分类</w:t>
      </w:r>
      <w:r>
        <w:rPr>
          <w:rFonts w:hint="eastAsia" w:ascii="微软雅黑" w:hAnsi="微软雅黑" w:eastAsia="微软雅黑" w:cs="微软雅黑"/>
          <w:color w:val="000000"/>
          <w:sz w:val="18"/>
          <w:szCs w:val="18"/>
        </w:rPr>
        <w:t>(表1—14)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w:t>
      </w:r>
      <w:r>
        <w:rPr>
          <w:rFonts w:hint="eastAsia" w:ascii="微软雅黑" w:hAnsi="微软雅黑" w:eastAsia="微软雅黑" w:cs="微软雅黑"/>
          <w:color w:val="000000"/>
          <w:sz w:val="18"/>
          <w:szCs w:val="18"/>
        </w:rPr>
        <w:t>14安全评价方法分类</w:t>
      </w:r>
    </w:p>
    <w:tbl>
      <w:tblPr>
        <w:tblStyle w:val="4"/>
        <w:tblW w:w="8409" w:type="dxa"/>
        <w:tblInd w:w="15" w:type="dxa"/>
        <w:tblLayout w:type="fixed"/>
        <w:tblCellMar>
          <w:top w:w="0" w:type="dxa"/>
          <w:left w:w="0" w:type="dxa"/>
          <w:bottom w:w="0" w:type="dxa"/>
          <w:right w:w="0" w:type="dxa"/>
        </w:tblCellMar>
      </w:tblPr>
      <w:tblGrid>
        <w:gridCol w:w="388"/>
        <w:gridCol w:w="404"/>
        <w:gridCol w:w="796"/>
        <w:gridCol w:w="6821"/>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6"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定性安全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评价方法</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包括安全检查表、专家现场询问观察法、因素图分析法、事故引发和发展分析、作业条件危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险性评价法</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格雷厄姆一金尼法或</w:t>
            </w:r>
            <w:r>
              <w:rPr>
                <w:rFonts w:hint="eastAsia" w:ascii="微软雅黑" w:hAnsi="微软雅黑" w:eastAsia="微软雅黑" w:cs="微软雅黑"/>
                <w:color w:val="000000"/>
                <w:kern w:val="0"/>
                <w:sz w:val="18"/>
                <w:szCs w:val="18"/>
              </w:rPr>
              <w:t>1EC</w:t>
            </w:r>
            <w:r>
              <w:rPr>
                <w:rFonts w:hint="eastAsia" w:ascii="微软雅黑" w:hAnsi="微软雅黑" w:eastAsia="微软雅黑" w:cs="微软雅黑"/>
                <w:color w:val="000000"/>
                <w:kern w:val="0"/>
                <w:sz w:val="18"/>
                <w:szCs w:val="18"/>
              </w:rPr>
              <w:t>法</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、故障类型和影响分析、危险可操作性研究等。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对工艺、设备等进行定性的依据是经验和直观判断能力</w:t>
            </w:r>
          </w:p>
        </w:tc>
      </w:tr>
      <w:tr>
        <w:tblPrEx>
          <w:tblLayout w:type="fixed"/>
          <w:tblCellMar>
            <w:top w:w="0" w:type="dxa"/>
            <w:left w:w="0" w:type="dxa"/>
            <w:bottom w:w="0" w:type="dxa"/>
            <w:right w:w="0" w:type="dxa"/>
          </w:tblCellMar>
        </w:tblPrEx>
        <w:trPr>
          <w:trHeight w:val="801"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价结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果的</w:t>
            </w:r>
          </w:p>
          <w:p>
            <w:pPr>
              <w:autoSpaceDE w:val="0"/>
              <w:autoSpaceDN w:val="0"/>
              <w:rPr>
                <w:rFonts w:hint="eastAsia" w:ascii="微软雅黑" w:hAnsi="微软雅黑" w:eastAsia="微软雅黑" w:cs="微软雅黑"/>
                <w:color w:val="000000"/>
                <w:kern w:val="0"/>
                <w:sz w:val="18"/>
                <w:szCs w:val="18"/>
              </w:rPr>
            </w:pPr>
          </w:p>
        </w:tc>
        <w:tc>
          <w:tcPr>
            <w:tcW w:w="40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概率风险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评价法</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根据事故的基本致因因素的事故发生概率，应用数理统计中的概率分析方法，求取事故基本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致因因素的关联度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或重要度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或整个评价系统的事故发生概率的安全评价方法</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796"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量化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tc>
        <w:tc>
          <w:tcPr>
            <w:tcW w:w="404"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破坏</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围评价法</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根据事故的数学模型。应用数学方法．求取事故对人员的伤害范围或对物体的破坏范围的安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全评价方法</w:t>
            </w:r>
          </w:p>
        </w:tc>
      </w:tr>
      <w:tr>
        <w:tblPrEx>
          <w:tblLayout w:type="fixed"/>
          <w:tblCellMar>
            <w:top w:w="0" w:type="dxa"/>
            <w:left w:w="0" w:type="dxa"/>
            <w:bottom w:w="0" w:type="dxa"/>
            <w:right w:w="0" w:type="dxa"/>
          </w:tblCellMar>
        </w:tblPrEx>
        <w:trPr>
          <w:trHeight w:val="792" w:hRule="atLeast"/>
        </w:trPr>
        <w:tc>
          <w:tcPr>
            <w:tcW w:w="388"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40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危险指数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评价法</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应用系统的事故危险指数模型，根据系统及其物质、设备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设施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和工艺的基本性质和状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态，采用推算的办法，逐步给出事故的可能损失、引起事故发生或使事故扩大的设备、事故的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危险性以及采取安全措施的有效性的安全评价方法</w:t>
            </w:r>
          </w:p>
        </w:tc>
      </w:tr>
      <w:tr>
        <w:tblPrEx>
          <w:tblLayout w:type="fixed"/>
          <w:tblCellMar>
            <w:top w:w="0" w:type="dxa"/>
            <w:left w:w="0" w:type="dxa"/>
            <w:bottom w:w="0" w:type="dxa"/>
            <w:right w:w="0" w:type="dxa"/>
          </w:tblCellMar>
        </w:tblPrEx>
        <w:trPr>
          <w:trHeight w:val="638"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按照安全评价的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逻辑推理过程</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分为归纳推理评价法和演绎推理评价法</w:t>
            </w:r>
          </w:p>
          <w:p>
            <w:pPr>
              <w:autoSpaceDE w:val="0"/>
              <w:autoSpaceDN w:val="0"/>
              <w:rPr>
                <w:rFonts w:hint="eastAsia" w:ascii="微软雅黑" w:hAnsi="微软雅黑" w:eastAsia="微软雅黑" w:cs="微软雅黑"/>
                <w:color w:val="000000"/>
                <w:kern w:val="0"/>
                <w:sz w:val="18"/>
                <w:szCs w:val="18"/>
              </w:rPr>
            </w:pP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按照安全评价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要达到的目的</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分为事故致因因素安全评价方法、危险性分级安全评价方法和事故后果安全评价方法</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19"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按照评价对象的不同</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分为设备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设施或工艺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故障率评价法、人员失误率评价法、物质系数评价法、系统危险性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评价法等</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常用的安全评价方法(表1—15)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1—15常用的安全评价方法</w:t>
      </w:r>
    </w:p>
    <w:tbl>
      <w:tblPr>
        <w:tblStyle w:val="4"/>
        <w:tblW w:w="8409" w:type="dxa"/>
        <w:tblInd w:w="15" w:type="dxa"/>
        <w:tblLayout w:type="fixed"/>
        <w:tblCellMar>
          <w:top w:w="0" w:type="dxa"/>
          <w:left w:w="0" w:type="dxa"/>
          <w:bottom w:w="0" w:type="dxa"/>
          <w:right w:w="0" w:type="dxa"/>
        </w:tblCellMar>
      </w:tblPr>
      <w:tblGrid>
        <w:gridCol w:w="792"/>
        <w:gridCol w:w="787"/>
        <w:gridCol w:w="6830"/>
      </w:tblGrid>
      <w:tr>
        <w:tblPrEx>
          <w:tblLayout w:type="fixed"/>
          <w:tblCellMar>
            <w:top w:w="0" w:type="dxa"/>
            <w:left w:w="0" w:type="dxa"/>
            <w:bottom w:w="0" w:type="dxa"/>
            <w:right w:w="0" w:type="dxa"/>
          </w:tblCellMar>
        </w:tblPrEx>
        <w:trPr>
          <w:trHeight w:val="30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PrEx>
        <w:trPr>
          <w:trHeight w:val="316" w:hRule="atLeast"/>
        </w:trPr>
        <w:tc>
          <w:tcPr>
            <w:tcW w:w="79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故障假设</w:t>
            </w:r>
          </w:p>
        </w:tc>
        <w:tc>
          <w:tcPr>
            <w:tcW w:w="78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特点</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比较简单，评价结果一般以表格形式表示</w:t>
            </w:r>
          </w:p>
        </w:tc>
      </w:tr>
      <w:tr>
        <w:tblPrEx>
          <w:tblLayout w:type="fixed"/>
          <w:tblCellMar>
            <w:top w:w="0" w:type="dxa"/>
            <w:left w:w="0" w:type="dxa"/>
            <w:bottom w:w="0" w:type="dxa"/>
            <w:right w:w="0" w:type="dxa"/>
          </w:tblCellMar>
        </w:tblPrEx>
        <w:trPr>
          <w:trHeight w:val="326" w:hRule="atLeast"/>
        </w:trPr>
        <w:tc>
          <w:tcPr>
            <w:tcW w:w="79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分析方法</w:t>
            </w:r>
          </w:p>
        </w:tc>
        <w:tc>
          <w:tcPr>
            <w:tcW w:w="78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提出的问题、回答可能的后果、降低或消除危险性的安全措施</w:t>
            </w:r>
          </w:p>
        </w:tc>
      </w:tr>
      <w:tr>
        <w:tblPrEx>
          <w:tblLayout w:type="fixed"/>
          <w:tblCellMar>
            <w:top w:w="0" w:type="dxa"/>
            <w:left w:w="0" w:type="dxa"/>
            <w:bottom w:w="0" w:type="dxa"/>
            <w:right w:w="0" w:type="dxa"/>
          </w:tblCellMar>
        </w:tblPrEx>
        <w:trPr>
          <w:trHeight w:val="638"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危险和可操作性研究</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基本过程：以关键词为引导，找出过程中工艺状态的变化</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即偏差</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，然后分析找出偏差的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原因、后果及可采取的对策</w:t>
            </w:r>
          </w:p>
        </w:tc>
      </w:tr>
      <w:tr>
        <w:tblPrEx>
          <w:tblLayout w:type="fixed"/>
          <w:tblCellMar>
            <w:top w:w="0" w:type="dxa"/>
            <w:left w:w="0" w:type="dxa"/>
            <w:bottom w:w="0" w:type="dxa"/>
            <w:right w:w="0" w:type="dxa"/>
          </w:tblCellMar>
        </w:tblPrEx>
        <w:trPr>
          <w:trHeight w:val="316"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故障类型和影响分析</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目的：辨识单一设备和系统的故障模式及每种故障模式对系统或装置的影响</w:t>
            </w:r>
          </w:p>
        </w:tc>
      </w:tr>
      <w:tr>
        <w:tblPrEx>
          <w:tblLayout w:type="fixed"/>
          <w:tblCellMar>
            <w:top w:w="0" w:type="dxa"/>
            <w:left w:w="0" w:type="dxa"/>
            <w:bottom w:w="0" w:type="dxa"/>
            <w:right w:w="0" w:type="dxa"/>
          </w:tblCellMar>
        </w:tblPrEx>
        <w:trPr>
          <w:trHeight w:val="638"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故障树分析</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基本程序：熟悉系统、调查事故、确定顶上事件、确定目标值、调查原因事件、画出故障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树、定性分析、确定事故发生概率、比较、分析</w:t>
            </w:r>
          </w:p>
        </w:tc>
      </w:tr>
      <w:tr>
        <w:tblPrEx>
          <w:tblLayout w:type="fixed"/>
          <w:tblCellMar>
            <w:top w:w="0" w:type="dxa"/>
            <w:left w:w="0" w:type="dxa"/>
            <w:bottom w:w="0" w:type="dxa"/>
            <w:right w:w="0" w:type="dxa"/>
          </w:tblCellMar>
        </w:tblPrEx>
        <w:trPr>
          <w:trHeight w:val="321"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事件树分析</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事故是典型设备故障或工艺异常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称为初始事件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引发的结果</w:t>
            </w:r>
          </w:p>
        </w:tc>
      </w:tr>
      <w:tr>
        <w:tblPrEx>
          <w:tblLayout w:type="fixed"/>
          <w:tblCellMar>
            <w:top w:w="0" w:type="dxa"/>
            <w:left w:w="0" w:type="dxa"/>
            <w:bottom w:w="0" w:type="dxa"/>
            <w:right w:w="0" w:type="dxa"/>
          </w:tblCellMar>
        </w:tblPrEx>
        <w:trPr>
          <w:trHeight w:val="633"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危险性评价法</w:t>
            </w: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将作业条件的危险性作为因变量</w:t>
            </w:r>
            <w:r>
              <w:rPr>
                <w:rFonts w:hint="eastAsia" w:ascii="微软雅黑" w:hAnsi="微软雅黑" w:eastAsia="微软雅黑" w:cs="微软雅黑"/>
                <w:color w:val="000000"/>
                <w:kern w:val="0"/>
                <w:sz w:val="18"/>
                <w:szCs w:val="18"/>
              </w:rPr>
              <w:t>(D)</w:t>
            </w:r>
            <w:r>
              <w:rPr>
                <w:rFonts w:hint="eastAsia" w:ascii="微软雅黑" w:hAnsi="微软雅黑" w:eastAsia="微软雅黑" w:cs="微软雅黑"/>
                <w:color w:val="000000"/>
                <w:kern w:val="0"/>
                <w:sz w:val="18"/>
                <w:szCs w:val="18"/>
              </w:rPr>
              <w:t>，事故或危险事件发生的可能性</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、暴露于危险环境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的频率</w:t>
            </w:r>
            <w:r>
              <w:rPr>
                <w:rFonts w:hint="eastAsia" w:ascii="微软雅黑" w:hAnsi="微软雅黑" w:eastAsia="微软雅黑" w:cs="微软雅黑"/>
                <w:color w:val="000000"/>
                <w:kern w:val="0"/>
                <w:sz w:val="18"/>
                <w:szCs w:val="18"/>
              </w:rPr>
              <w:t>(E)</w:t>
            </w:r>
            <w:r>
              <w:rPr>
                <w:rFonts w:hint="eastAsia" w:ascii="微软雅黑" w:hAnsi="微软雅黑" w:eastAsia="微软雅黑" w:cs="微软雅黑"/>
                <w:color w:val="000000"/>
                <w:kern w:val="0"/>
                <w:sz w:val="18"/>
                <w:szCs w:val="18"/>
              </w:rPr>
              <w:t>及危险严重程度</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作为自变量，确定了它们之间的函数式</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安全评价报告</w:t>
      </w:r>
      <w:r>
        <w:rPr>
          <w:rFonts w:hint="eastAsia" w:ascii="微软雅黑" w:hAnsi="微软雅黑" w:eastAsia="微软雅黑" w:cs="微软雅黑"/>
          <w:color w:val="000000"/>
          <w:sz w:val="18"/>
          <w:szCs w:val="18"/>
        </w:rPr>
        <w:t>(表1—16)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16安全评价报告</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w:t>
            </w:r>
          </w:p>
        </w:tc>
      </w:tr>
      <w:tr>
        <w:tblPrEx>
          <w:tblLayout w:type="fixed"/>
          <w:tblCellMar>
            <w:top w:w="0" w:type="dxa"/>
            <w:left w:w="0" w:type="dxa"/>
            <w:bottom w:w="0" w:type="dxa"/>
            <w:right w:w="0" w:type="dxa"/>
          </w:tblCellMar>
        </w:tblPrEx>
        <w:trPr>
          <w:trHeight w:val="72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安全预评价报告</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应全面、概括地反映安全预评价过程的全部工作，文字应简洁、准确，提出的资料清楚可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靠，论点明确，利于阅读和审查</w:t>
            </w:r>
          </w:p>
        </w:tc>
      </w:tr>
      <w:tr>
        <w:tblPrEx>
          <w:tblLayout w:type="fixed"/>
          <w:tblCellMar>
            <w:top w:w="0" w:type="dxa"/>
            <w:left w:w="0" w:type="dxa"/>
            <w:bottom w:w="0" w:type="dxa"/>
            <w:right w:w="0" w:type="dxa"/>
          </w:tblCellMar>
        </w:tblPrEx>
        <w:trPr>
          <w:trHeight w:val="715"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安全验收评价报告</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应全面、概括地反映验收评价的全部工作，文字简洁、精确，可同时采用图表和照片，以使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评价过程和结论清楚、明确，利于阅读和审查</w:t>
            </w:r>
          </w:p>
        </w:tc>
      </w:tr>
      <w:tr>
        <w:tblPrEx>
          <w:tblLayout w:type="fixed"/>
          <w:tblCellMar>
            <w:top w:w="0" w:type="dxa"/>
            <w:left w:w="0" w:type="dxa"/>
            <w:bottom w:w="0" w:type="dxa"/>
            <w:right w:w="0" w:type="dxa"/>
          </w:tblCellMar>
        </w:tblPrEx>
        <w:trPr>
          <w:trHeight w:val="71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安全现状评价报告</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比安全预评价报告更详尽、更具体，特别是对危险分析要全面、具体，因此整个评价报告的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编制，要由懂工艺和操作的专家参与完成</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考点十七</w:t>
      </w:r>
      <w:r>
        <w:rPr>
          <w:rFonts w:hint="eastAsia" w:ascii="微软雅黑" w:hAnsi="微软雅黑" w:eastAsia="微软雅黑" w:cs="微软雅黑"/>
          <w:color w:val="000000"/>
          <w:sz w:val="18"/>
          <w:szCs w:val="18"/>
        </w:rPr>
        <w:t>安全评价管理(表1—17)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1—17安全评价管理</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6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对评价对象的要求</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应为安全评价机构创造必备的工作条件，如实提供所需的资料。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同一对象的安全预评价和安全验收评价，应由不同的安全评价机构分别承担。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任何部门和个人不得干预安全评价机构的正常活动等</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对评价机构和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评价人员的要求</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安全评价机构不得以不正当手段获取安全评价业务。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安全评价机构、安全评价师应科学、客观、公正、独立地开展安全评价。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安全评价机构应自觉按要求上报工作业绩并接受考核。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安全评价机构、安全评价师应保守被评价单位的技术和商业秘密</w:t>
            </w:r>
          </w:p>
        </w:tc>
      </w:tr>
      <w:tr>
        <w:tblPrEx>
          <w:tblLayout w:type="fixed"/>
          <w:tblCellMar>
            <w:top w:w="0" w:type="dxa"/>
            <w:left w:w="0" w:type="dxa"/>
            <w:bottom w:w="0" w:type="dxa"/>
            <w:right w:w="0" w:type="dxa"/>
          </w:tblCellMar>
        </w:tblPrEx>
        <w:trPr>
          <w:trHeight w:val="62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业务范围</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安全评价机构的业务范围，由政府主管部门根据安全评价机构的专职安全评价师的人数、基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础专业条件和其他有关没施设备等条件确定</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对安全评价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师管理要求</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安全评价师需按有关规定参加安全评价师继续教育保持资格。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安全评价师不得在两个或两个以上机构从事安全评价工作。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安全评价师应在所登记的安全评价机构从事安全评价工作</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考点十八</w:t>
      </w:r>
      <w:r>
        <w:rPr>
          <w:rFonts w:hint="eastAsia" w:ascii="微软雅黑" w:hAnsi="微软雅黑" w:eastAsia="微软雅黑" w:cs="微软雅黑"/>
          <w:color w:val="000000"/>
          <w:sz w:val="18"/>
          <w:szCs w:val="18"/>
        </w:rPr>
        <w:t>职业卫生的概念与分类(表1一18)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1—18职业卫生的概念与分类</w:t>
      </w:r>
    </w:p>
    <w:tbl>
      <w:tblPr>
        <w:tblStyle w:val="4"/>
        <w:tblW w:w="8409" w:type="dxa"/>
        <w:tblInd w:w="15" w:type="dxa"/>
        <w:tblLayout w:type="fixed"/>
        <w:tblCellMar>
          <w:top w:w="0" w:type="dxa"/>
          <w:left w:w="0" w:type="dxa"/>
          <w:bottom w:w="0" w:type="dxa"/>
          <w:right w:w="0" w:type="dxa"/>
        </w:tblCellMar>
      </w:tblPr>
      <w:tblGrid>
        <w:gridCol w:w="398"/>
        <w:gridCol w:w="394"/>
        <w:gridCol w:w="796"/>
        <w:gridCol w:w="6821"/>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根据《职业安全卫生术语》</w:t>
            </w:r>
            <w:r>
              <w:rPr>
                <w:rFonts w:hint="eastAsia" w:ascii="微软雅黑" w:hAnsi="微软雅黑" w:eastAsia="微软雅黑" w:cs="微软雅黑"/>
                <w:color w:val="000000"/>
                <w:kern w:val="0"/>
                <w:sz w:val="18"/>
                <w:szCs w:val="18"/>
              </w:rPr>
              <w:t>(GB</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T15236)</w:t>
            </w:r>
            <w:r>
              <w:rPr>
                <w:rFonts w:hint="eastAsia" w:ascii="微软雅黑" w:hAnsi="微软雅黑" w:eastAsia="微软雅黑" w:cs="微软雅黑"/>
                <w:color w:val="000000"/>
                <w:kern w:val="0"/>
                <w:sz w:val="18"/>
                <w:szCs w:val="18"/>
              </w:rPr>
              <w:t>规定，职业卫生是以职工的健康在职业活动过程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中免受有害因素侵害为目的的工作领域及其在法律、技术、设备、组织制度和教育等方面所采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取的相应措施</w:t>
            </w:r>
          </w:p>
        </w:tc>
      </w:tr>
      <w:tr>
        <w:tblPrEx>
          <w:tblLayout w:type="fixed"/>
          <w:tblCellMar>
            <w:top w:w="0" w:type="dxa"/>
            <w:left w:w="0" w:type="dxa"/>
            <w:bottom w:w="0" w:type="dxa"/>
            <w:right w:w="0" w:type="dxa"/>
          </w:tblCellMar>
        </w:tblPrEx>
        <w:trPr>
          <w:trHeight w:val="657" w:hRule="atLeast"/>
        </w:trPr>
        <w:tc>
          <w:tcPr>
            <w:tcW w:w="398"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过程</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化学因素</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生产性粉尘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矽尘、煤尘、石棉尘、电焊烟尘等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、化学有毒物质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铅、汞、锰、苯、一氧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化碳、硫化氢、甲醛、甲醇等</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480" w:hRule="atLeast"/>
        </w:trPr>
        <w:tc>
          <w:tcPr>
            <w:tcW w:w="39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生的</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物理因素</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异常气象条件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高温、高湿、低温</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、异常气压、噪声、振动、辐射等</w:t>
            </w:r>
          </w:p>
        </w:tc>
      </w:tr>
      <w:tr>
        <w:tblPrEx>
          <w:tblLayout w:type="fixed"/>
          <w:tblCellMar>
            <w:top w:w="0" w:type="dxa"/>
            <w:left w:w="0" w:type="dxa"/>
            <w:bottom w:w="0" w:type="dxa"/>
            <w:right w:w="0" w:type="dxa"/>
          </w:tblCellMar>
        </w:tblPrEx>
        <w:trPr>
          <w:trHeight w:val="475" w:hRule="atLeast"/>
        </w:trPr>
        <w:tc>
          <w:tcPr>
            <w:tcW w:w="39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性有</w:t>
            </w:r>
          </w:p>
        </w:tc>
        <w:tc>
          <w:tcPr>
            <w:tcW w:w="39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因素</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生物因素</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附着于皮毛上的炭疽杆菌、甘蔗渣上的真菌等</w:t>
            </w:r>
          </w:p>
        </w:tc>
      </w:tr>
      <w:tr>
        <w:tblPrEx>
          <w:tblLayout w:type="fixed"/>
          <w:tblCellMar>
            <w:top w:w="0" w:type="dxa"/>
            <w:left w:w="0" w:type="dxa"/>
            <w:bottom w:w="0" w:type="dxa"/>
            <w:right w:w="0" w:type="dxa"/>
          </w:tblCellMar>
        </w:tblPrEx>
        <w:trPr>
          <w:trHeight w:val="1281" w:hRule="atLeast"/>
        </w:trPr>
        <w:tc>
          <w:tcPr>
            <w:tcW w:w="39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害因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素按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来源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9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劳动过程中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的有害因素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劳动组织和制度不合理，作息不合理等。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精神性职业紧张。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劳动强度过大或生产定额不当。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个别器官或系统过度紧张。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长时间不良体位或使用不合理的工具等</w:t>
            </w:r>
          </w:p>
        </w:tc>
      </w:tr>
      <w:tr>
        <w:tblPrEx>
          <w:tblLayout w:type="fixed"/>
          <w:tblCellMar>
            <w:top w:w="0" w:type="dxa"/>
            <w:left w:w="0" w:type="dxa"/>
            <w:bottom w:w="0" w:type="dxa"/>
            <w:right w:w="0" w:type="dxa"/>
          </w:tblCellMar>
        </w:tblPrEx>
        <w:trPr>
          <w:trHeight w:val="633" w:hRule="atLeast"/>
        </w:trPr>
        <w:tc>
          <w:tcPr>
            <w:tcW w:w="39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9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生产环境中的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有害因素</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自然环境中的因素。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作业场所建筑卫生学设计缺陷因素</w:t>
            </w:r>
          </w:p>
        </w:tc>
      </w:tr>
      <w:tr>
        <w:tblPrEx>
          <w:tblLayout w:type="fixed"/>
          <w:tblCellMar>
            <w:top w:w="0" w:type="dxa"/>
            <w:left w:w="0" w:type="dxa"/>
            <w:bottom w:w="0" w:type="dxa"/>
            <w:right w:w="0" w:type="dxa"/>
          </w:tblCellMar>
        </w:tblPrEx>
        <w:trPr>
          <w:trHeight w:val="955"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职业性有害因素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按有关规定分类</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根据《职业病分类和目录》规定，将职业病分为：职业性尘肺及其他呼吸系统疾病、职业性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皮肤病、职业性眼疾、职业性耳鼻喉口腔疾病、职业性化学中毒、物理因素所致职业病、职业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性放射性疾病、职业性传染病、职业性肿瘤、其他职业病</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类</w:t>
            </w:r>
            <w:r>
              <w:rPr>
                <w:rFonts w:hint="eastAsia" w:ascii="微软雅黑" w:hAnsi="微软雅黑" w:eastAsia="微软雅黑" w:cs="微软雅黑"/>
                <w:color w:val="000000"/>
                <w:kern w:val="0"/>
                <w:sz w:val="18"/>
                <w:szCs w:val="18"/>
              </w:rPr>
              <w:t>132</w:t>
            </w:r>
            <w:r>
              <w:rPr>
                <w:rFonts w:hint="eastAsia" w:ascii="微软雅黑" w:hAnsi="微软雅黑" w:eastAsia="微软雅黑" w:cs="微软雅黑"/>
                <w:color w:val="000000"/>
                <w:kern w:val="0"/>
                <w:sz w:val="18"/>
                <w:szCs w:val="18"/>
              </w:rPr>
              <w:t>种</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考点十九</w:t>
      </w:r>
      <w:r>
        <w:rPr>
          <w:rFonts w:hint="eastAsia" w:ascii="微软雅黑" w:hAnsi="微软雅黑" w:eastAsia="微软雅黑" w:cs="微软雅黑"/>
          <w:color w:val="000000"/>
          <w:sz w:val="18"/>
          <w:szCs w:val="18"/>
        </w:rPr>
        <w:t>职业接触限值与健康监护档案(表1—19)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1—19职业接触限值与健康监护档案</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接触</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时间加权平均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容许浓度</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指以时间为权数规定的</w:t>
            </w:r>
            <w:r>
              <w:rPr>
                <w:rFonts w:hint="eastAsia" w:ascii="微软雅黑" w:hAnsi="微软雅黑" w:eastAsia="微软雅黑" w:cs="微软雅黑"/>
                <w:color w:val="000000"/>
                <w:kern w:val="0"/>
                <w:sz w:val="18"/>
                <w:szCs w:val="18"/>
              </w:rPr>
              <w:t>8h</w:t>
            </w:r>
            <w:r>
              <w:rPr>
                <w:rFonts w:hint="eastAsia" w:ascii="微软雅黑" w:hAnsi="微软雅黑" w:eastAsia="微软雅黑" w:cs="微软雅黑"/>
                <w:color w:val="000000"/>
                <w:kern w:val="0"/>
                <w:sz w:val="18"/>
                <w:szCs w:val="18"/>
              </w:rPr>
              <w:t>工作日、</w:t>
            </w:r>
            <w:r>
              <w:rPr>
                <w:rFonts w:hint="eastAsia" w:ascii="微软雅黑" w:hAnsi="微软雅黑" w:eastAsia="微软雅黑" w:cs="微软雅黑"/>
                <w:color w:val="000000"/>
                <w:kern w:val="0"/>
                <w:sz w:val="18"/>
                <w:szCs w:val="18"/>
              </w:rPr>
              <w:t>40h</w:t>
            </w:r>
            <w:r>
              <w:rPr>
                <w:rFonts w:hint="eastAsia" w:ascii="微软雅黑" w:hAnsi="微软雅黑" w:eastAsia="微软雅黑" w:cs="微软雅黑"/>
                <w:color w:val="000000"/>
                <w:kern w:val="0"/>
                <w:sz w:val="18"/>
                <w:szCs w:val="18"/>
              </w:rPr>
              <w:t>工作周的平均容许接触浓度</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316"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限值</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最高容许浓度</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工作地点、在一个工作日内、任何时间有毒化学物质均不应超过的浓度</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552"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短时间接触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容许浓度</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在遵守时间加权平均容许浓度前提下容许短时间</w:t>
            </w:r>
            <w:r>
              <w:rPr>
                <w:rFonts w:hint="eastAsia" w:ascii="微软雅黑" w:hAnsi="微软雅黑" w:eastAsia="微软雅黑" w:cs="微软雅黑"/>
                <w:color w:val="000000"/>
                <w:kern w:val="0"/>
                <w:sz w:val="18"/>
                <w:szCs w:val="18"/>
              </w:rPr>
              <w:t>(15min)</w:t>
            </w:r>
            <w:r>
              <w:rPr>
                <w:rFonts w:hint="eastAsia" w:ascii="微软雅黑" w:hAnsi="微软雅黑" w:eastAsia="微软雅黑" w:cs="微软雅黑"/>
                <w:color w:val="000000"/>
                <w:kern w:val="0"/>
                <w:sz w:val="18"/>
                <w:szCs w:val="18"/>
              </w:rPr>
              <w:t>接触的浓度</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552"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限值</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超限倍数</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对未制订短时间接触容许浓度的化学有害因素，在符合</w:t>
            </w:r>
            <w:r>
              <w:rPr>
                <w:rFonts w:hint="eastAsia" w:ascii="微软雅黑" w:hAnsi="微软雅黑" w:eastAsia="微软雅黑" w:cs="微软雅黑"/>
                <w:color w:val="000000"/>
                <w:kern w:val="0"/>
                <w:sz w:val="18"/>
                <w:szCs w:val="18"/>
              </w:rPr>
              <w:t>8h</w:t>
            </w:r>
            <w:r>
              <w:rPr>
                <w:rFonts w:hint="eastAsia" w:ascii="微软雅黑" w:hAnsi="微软雅黑" w:eastAsia="微软雅黑" w:cs="微软雅黑"/>
                <w:color w:val="000000"/>
                <w:kern w:val="0"/>
                <w:sz w:val="18"/>
                <w:szCs w:val="18"/>
              </w:rPr>
              <w:t>时间加权平均容许浓度的情况下，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任何一次短时间</w:t>
            </w:r>
            <w:r>
              <w:rPr>
                <w:rFonts w:hint="eastAsia" w:ascii="微软雅黑" w:hAnsi="微软雅黑" w:eastAsia="微软雅黑" w:cs="微软雅黑"/>
                <w:color w:val="000000"/>
                <w:kern w:val="0"/>
                <w:sz w:val="18"/>
                <w:szCs w:val="18"/>
              </w:rPr>
              <w:t>(15min)</w:t>
            </w:r>
            <w:r>
              <w:rPr>
                <w:rFonts w:hint="eastAsia" w:ascii="微软雅黑" w:hAnsi="微软雅黑" w:eastAsia="微软雅黑" w:cs="微软雅黑"/>
                <w:color w:val="000000"/>
                <w:kern w:val="0"/>
                <w:sz w:val="18"/>
                <w:szCs w:val="18"/>
              </w:rPr>
              <w:t>接触的浓度均不应超过的时间加权平均容许浓度的倍数值</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职业健康监护档案</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包括劳动者的职业史、职业危害接触史、职业健康检查结果和职业病诊疗等有关个人健康资料</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考点二十职业性病损和职业病</w:t>
      </w:r>
      <w:r>
        <w:rPr>
          <w:rFonts w:hint="eastAsia" w:ascii="微软雅黑" w:hAnsi="微软雅黑" w:eastAsia="微软雅黑" w:cs="微软雅黑"/>
          <w:color w:val="000000"/>
          <w:sz w:val="18"/>
          <w:szCs w:val="18"/>
        </w:rPr>
        <w:t>(表1—20)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1—20职业性病损和职业病</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职业性病损</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包括工伤、职业病和工作有关疾病</w:t>
            </w:r>
          </w:p>
        </w:tc>
      </w:tr>
      <w:tr>
        <w:tblPrEx>
          <w:tblLayout w:type="fixed"/>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界定法定职业病的基本条件：在职业活动中产生；接触危害因素；列入国家职业病范围；与</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劳动行为相联系</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考点二十一</w:t>
      </w:r>
      <w:r>
        <w:rPr>
          <w:rFonts w:hint="eastAsia" w:ascii="微软雅黑" w:hAnsi="微软雅黑" w:eastAsia="微软雅黑" w:cs="微软雅黑"/>
          <w:color w:val="000000"/>
          <w:sz w:val="18"/>
          <w:szCs w:val="18"/>
        </w:rPr>
        <w:t>职业卫生工作方针与原则(表1—21)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21职业卫生工作方针与原则</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方针</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预防为主，防治结合</w:t>
            </w:r>
          </w:p>
        </w:tc>
      </w:tr>
      <w:tr>
        <w:tblPrEx>
          <w:tblLayout w:type="fixed"/>
          <w:tblCellMar>
            <w:top w:w="0" w:type="dxa"/>
            <w:left w:w="0" w:type="dxa"/>
            <w:bottom w:w="0" w:type="dxa"/>
            <w:right w:w="0" w:type="dxa"/>
          </w:tblCellMar>
        </w:tblPrEx>
        <w:trPr>
          <w:trHeight w:val="316"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三级预防</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该处内容还需要掌握的有：国家实行由安全生产监督管理部门主持的职业危害项目的申报制度，即新建、扩建、改</w:t>
      </w:r>
      <w:r>
        <w:rPr>
          <w:rFonts w:hint="eastAsia" w:ascii="微软雅黑" w:hAnsi="微软雅黑" w:eastAsia="微软雅黑" w:cs="微软雅黑"/>
          <w:color w:val="000000"/>
          <w:sz w:val="18"/>
          <w:szCs w:val="18"/>
        </w:rPr>
        <w:t>建建设项目和技术改造、技术引进项目可能产生职业危害的，建设单位在可行性论证阶段应当提交职业危害预评价报告。建设项目在竣工验收前，建设单位应当进行职业危害控制效果评价</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考点二十二</w:t>
      </w:r>
      <w:r>
        <w:rPr>
          <w:rFonts w:hint="eastAsia" w:ascii="微软雅黑" w:hAnsi="微软雅黑" w:eastAsia="微软雅黑" w:cs="微软雅黑"/>
          <w:color w:val="000000"/>
          <w:sz w:val="18"/>
          <w:szCs w:val="18"/>
        </w:rPr>
        <w:t>我国职业危害现状(表1—22)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1-22我国职业危害现状</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职业危害形势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接触职业危害人数众多，患者总量巨大。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职业危害分布行业广，中小企业危害重。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职业危害流动性大、危害转移严重。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群发性职业危害事件多发，在国内外造成严重影响</w:t>
            </w:r>
          </w:p>
        </w:tc>
      </w:tr>
      <w:tr>
        <w:tblPrEx>
          <w:tblLayout w:type="fixed"/>
          <w:tblCellMar>
            <w:top w:w="0" w:type="dxa"/>
            <w:left w:w="0" w:type="dxa"/>
            <w:bottom w:w="0" w:type="dxa"/>
            <w:right w:w="0" w:type="dxa"/>
          </w:tblCellMar>
        </w:tblPrEx>
        <w:trPr>
          <w:trHeight w:val="31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职业病种类构成</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职业病发病以尘肺病为主，尘肺病中主要为煤工尘肺和矽肺</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考点二十三</w:t>
      </w:r>
      <w:r>
        <w:rPr>
          <w:rFonts w:hint="eastAsia" w:ascii="微软雅黑" w:hAnsi="微软雅黑" w:eastAsia="微软雅黑" w:cs="微软雅黑"/>
          <w:color w:val="000000"/>
          <w:sz w:val="18"/>
          <w:szCs w:val="18"/>
        </w:rPr>
        <w:t>粉尘与尘肺(表1—23)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1—23粉尘与尘肺</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生产性粉尘</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对人体有多方面的不良影响，尤其是含有游离二氧化硅的粉尘，能引起严重的职业病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矽肺</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29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60"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生产性粉尘的来源</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固体物质的机械加工、粉碎，其所形成的尘粒。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有机物质的不完全燃烧所产生的微粒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直径在</w:t>
            </w:r>
            <w:r>
              <w:rPr>
                <w:rFonts w:hint="eastAsia" w:ascii="微软雅黑" w:hAnsi="微软雅黑" w:eastAsia="微软雅黑" w:cs="微软雅黑"/>
                <w:color w:val="000000"/>
                <w:kern w:val="0"/>
                <w:sz w:val="18"/>
                <w:szCs w:val="18"/>
              </w:rPr>
              <w:t>0.5</w:t>
            </w:r>
            <w:r>
              <w:rPr>
                <w:rFonts w:hint="eastAsia" w:ascii="微软雅黑" w:hAnsi="微软雅黑" w:eastAsia="微软雅黑" w:cs="微软雅黑"/>
                <w:color w:val="000000"/>
                <w:kern w:val="0"/>
                <w:sz w:val="18"/>
                <w:szCs w:val="18"/>
              </w:rPr>
              <w:t>μ</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rPr>
              <w:t>以下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物质加热时产生的蒸气可在空气中凝结成小颗粒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微粒直径小于</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μ</w:t>
            </w:r>
            <w:r>
              <w:rPr>
                <w:rFonts w:hint="eastAsia" w:ascii="微软雅黑" w:hAnsi="微软雅黑" w:eastAsia="微软雅黑" w:cs="微软雅黑"/>
                <w:color w:val="000000"/>
                <w:kern w:val="0"/>
                <w:sz w:val="18"/>
                <w:szCs w:val="18"/>
              </w:rPr>
              <w:t>m)</w:t>
            </w:r>
          </w:p>
        </w:tc>
      </w:tr>
      <w:tr>
        <w:tblPrEx>
          <w:tblLayout w:type="fixed"/>
          <w:tblCellMar>
            <w:top w:w="0" w:type="dxa"/>
            <w:left w:w="0" w:type="dxa"/>
            <w:bottom w:w="0" w:type="dxa"/>
            <w:right w:w="0" w:type="dxa"/>
          </w:tblCellMar>
        </w:tblPrEx>
        <w:trPr>
          <w:trHeight w:val="950"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无机性粉尘</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矿物性粉尘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煤尘、硅石、石棉、滑石等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金属性粉尘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铁、锡、铝、铅、锰等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人工无机性粉尘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水泥、金刚砂、玻璃纤维等</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960"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尘的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有机性粉尘</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植物性粉尘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棉、麻、面粉、木材、烟草、茶等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动物性粉尘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兽毛、角质、骨质、毛发等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人工有机粉尘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有机燃料、炸药、人造纤维等</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312"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混合性粉尘</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在生产环境中最常见</w:t>
            </w:r>
          </w:p>
        </w:tc>
      </w:tr>
      <w:tr>
        <w:tblPrEx>
          <w:tblLayout w:type="fixed"/>
          <w:tblCellMar>
            <w:top w:w="0" w:type="dxa"/>
            <w:left w:w="0" w:type="dxa"/>
            <w:bottom w:w="0" w:type="dxa"/>
            <w:right w:w="0" w:type="dxa"/>
          </w:tblCellMar>
        </w:tblPrEx>
        <w:trPr>
          <w:trHeight w:val="633"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尘肺病种类</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矽肺、煤工尘肺、石墨尘肺、碳黑尘肺、石棉肺、滑石尘肺、水泥尘肺、云母尘肺、陶工尘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肺、铝尘肺、电焊工尘肺、铸工尘肺</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考点二十四</w:t>
      </w:r>
      <w:r>
        <w:rPr>
          <w:rFonts w:hint="eastAsia" w:ascii="微软雅黑" w:hAnsi="微软雅黑" w:eastAsia="微软雅黑" w:cs="微软雅黑"/>
          <w:color w:val="000000"/>
          <w:sz w:val="18"/>
          <w:szCs w:val="18"/>
        </w:rPr>
        <w:t>生产性毒物与职业中毒(表1—24)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1—24生产性毒物与职业中毒</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生产性毒物概念</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在生产经营活动中，通常会生产或使用化学物质，它们发散并存在于工作环境空气中，对劳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动者的健康产生危害，这些化学物质称为生产性毒物</w:t>
            </w:r>
          </w:p>
        </w:tc>
      </w:tr>
      <w:tr>
        <w:tblPrEx>
          <w:tblLayout w:type="fixed"/>
          <w:tblCellMar>
            <w:top w:w="0" w:type="dxa"/>
            <w:left w:w="0" w:type="dxa"/>
            <w:bottom w:w="0" w:type="dxa"/>
            <w:right w:w="0" w:type="dxa"/>
          </w:tblCellMar>
        </w:tblPrEx>
        <w:trPr>
          <w:trHeight w:val="96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生产性毒物的危害</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毒物毒性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毒物毒性大小可以用引起某种毒性反应的剂量来表示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毒物的危害性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毒性大的物质不一定危害性大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毒物作用于人体的危害表现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局部刺激和腐蚀：人接触氨气；中毒：长期吸人汞蒸气</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影响毒物毒性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作用的因素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化学结构</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毒性大小依次为芳烃</w:t>
            </w:r>
            <w:r>
              <w:rPr>
                <w:rFonts w:hint="eastAsia" w:ascii="微软雅黑" w:hAnsi="微软雅黑" w:eastAsia="微软雅黑" w:cs="微软雅黑"/>
                <w:color w:val="000000"/>
                <w:kern w:val="0"/>
                <w:sz w:val="18"/>
                <w:szCs w:val="18"/>
              </w:rPr>
              <w:t>&gt;</w:t>
            </w:r>
            <w:r>
              <w:rPr>
                <w:rFonts w:hint="eastAsia" w:ascii="微软雅黑" w:hAnsi="微软雅黑" w:eastAsia="微软雅黑" w:cs="微软雅黑"/>
                <w:color w:val="000000"/>
                <w:kern w:val="0"/>
                <w:sz w:val="18"/>
                <w:szCs w:val="18"/>
              </w:rPr>
              <w:t>醇</w:t>
            </w:r>
            <w:r>
              <w:rPr>
                <w:rFonts w:hint="eastAsia" w:ascii="微软雅黑" w:hAnsi="微软雅黑" w:eastAsia="微软雅黑" w:cs="微软雅黑"/>
                <w:color w:val="000000"/>
                <w:kern w:val="0"/>
                <w:sz w:val="18"/>
                <w:szCs w:val="18"/>
              </w:rPr>
              <w:t>&gt;</w:t>
            </w:r>
            <w:r>
              <w:rPr>
                <w:rFonts w:hint="eastAsia" w:ascii="微软雅黑" w:hAnsi="微软雅黑" w:eastAsia="微软雅黑" w:cs="微软雅黑"/>
                <w:color w:val="000000"/>
                <w:kern w:val="0"/>
                <w:sz w:val="18"/>
                <w:szCs w:val="18"/>
              </w:rPr>
              <w:t>酮</w:t>
            </w:r>
            <w:r>
              <w:rPr>
                <w:rFonts w:hint="eastAsia" w:ascii="微软雅黑" w:hAnsi="微软雅黑" w:eastAsia="微软雅黑" w:cs="微软雅黑"/>
                <w:color w:val="000000"/>
                <w:kern w:val="0"/>
                <w:sz w:val="18"/>
                <w:szCs w:val="18"/>
              </w:rPr>
              <w:t>&gt;</w:t>
            </w:r>
            <w:r>
              <w:rPr>
                <w:rFonts w:hint="eastAsia" w:ascii="微软雅黑" w:hAnsi="微软雅黑" w:eastAsia="微软雅黑" w:cs="微软雅黑"/>
                <w:color w:val="000000"/>
                <w:kern w:val="0"/>
                <w:sz w:val="18"/>
                <w:szCs w:val="18"/>
              </w:rPr>
              <w:t>环烃</w:t>
            </w:r>
            <w:r>
              <w:rPr>
                <w:rFonts w:hint="eastAsia" w:ascii="微软雅黑" w:hAnsi="微软雅黑" w:eastAsia="微软雅黑" w:cs="微软雅黑"/>
                <w:color w:val="000000"/>
                <w:kern w:val="0"/>
                <w:sz w:val="18"/>
                <w:szCs w:val="18"/>
              </w:rPr>
              <w:t>&gt;</w:t>
            </w:r>
            <w:r>
              <w:rPr>
                <w:rFonts w:hint="eastAsia" w:ascii="微软雅黑" w:hAnsi="微软雅黑" w:eastAsia="微软雅黑" w:cs="微软雅黑"/>
                <w:color w:val="000000"/>
                <w:kern w:val="0"/>
                <w:sz w:val="18"/>
                <w:szCs w:val="18"/>
              </w:rPr>
              <w:t>脂肪烃</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物理特性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毒物在水中溶解度越大，其毒性越大；挥发性越大，危害性越大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毒物剂量</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毒物进入人体内需要达到一定剂量才会引起中毒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毒物联合作用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相加作用、相乘作用、拮抗作用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生产环境与劳动条件。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个体状态</w:t>
            </w:r>
          </w:p>
        </w:tc>
      </w:tr>
      <w:tr>
        <w:tblPrEx>
          <w:tblLayout w:type="fixed"/>
          <w:tblCellMar>
            <w:top w:w="0" w:type="dxa"/>
            <w:left w:w="0" w:type="dxa"/>
            <w:bottom w:w="0" w:type="dxa"/>
            <w:right w:w="0" w:type="dxa"/>
          </w:tblCellMar>
        </w:tblPrEx>
        <w:trPr>
          <w:trHeight w:val="95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职业中毒的类型</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急性中毒。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慢性中毒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慢性中毒是长期小剂量毒物进入机体所致</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亚急性中毒</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考点二十五</w:t>
      </w:r>
      <w:r>
        <w:rPr>
          <w:rFonts w:hint="eastAsia" w:ascii="微软雅黑" w:hAnsi="微软雅黑" w:eastAsia="微软雅黑" w:cs="微软雅黑"/>
          <w:color w:val="000000"/>
          <w:sz w:val="18"/>
          <w:szCs w:val="18"/>
        </w:rPr>
        <w:t>物理性职业危害因素及所致职业病(表1—25)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1—25物理</w:t>
      </w:r>
      <w:r>
        <w:rPr>
          <w:rFonts w:hint="eastAsia" w:ascii="微软雅黑" w:hAnsi="微软雅黑" w:eastAsia="微软雅黑" w:cs="微软雅黑"/>
          <w:color w:val="000000"/>
          <w:sz w:val="18"/>
          <w:szCs w:val="18"/>
        </w:rPr>
        <w:t>性</w:t>
      </w:r>
      <w:r>
        <w:rPr>
          <w:rFonts w:hint="eastAsia" w:ascii="微软雅黑" w:hAnsi="微软雅黑" w:eastAsia="微软雅黑" w:cs="微软雅黑"/>
          <w:color w:val="000000"/>
          <w:sz w:val="18"/>
          <w:szCs w:val="18"/>
        </w:rPr>
        <w:t>职业危害因素及所致职业病</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噪声</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在生产过程中，由于机器转动、气体排放、工件撞击与摩擦所产生的噪声，称为生产性噪声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或工业噪声。其包括空气动力噪声、机械性噪声和电磁噪声</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14" w:type="dxa"/>
        <w:tblInd w:w="15" w:type="dxa"/>
        <w:tblLayout w:type="fixed"/>
        <w:tblCellMar>
          <w:top w:w="0" w:type="dxa"/>
          <w:left w:w="0" w:type="dxa"/>
          <w:bottom w:w="0" w:type="dxa"/>
          <w:right w:w="0" w:type="dxa"/>
        </w:tblCellMar>
      </w:tblPr>
      <w:tblGrid>
        <w:gridCol w:w="1588"/>
        <w:gridCol w:w="6826"/>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6"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振动</w:t>
            </w: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存在手臂振动的生产作业包括：使用锤打工具作业；使用手持转动工具作业；使用固定轮转</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工具作业；驾驶交通运输工具或农业机械作业</w:t>
            </w:r>
          </w:p>
        </w:tc>
      </w:tr>
      <w:tr>
        <w:tblPrEx>
          <w:tblLayout w:type="fixed"/>
          <w:tblCellMar>
            <w:top w:w="0" w:type="dxa"/>
            <w:left w:w="0" w:type="dxa"/>
            <w:bottom w:w="0" w:type="dxa"/>
            <w:right w:w="0" w:type="dxa"/>
          </w:tblCellMar>
        </w:tblPrEx>
        <w:trPr>
          <w:trHeight w:val="143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电磁辐射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非电离辐射包括高频作业、微波作业等；红外线；紫外线；激光。其中射频辐射对人体的影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响不会导致组织器官的器质性损伤，主要引起功能性改变，并具有可逆性特征，症状往往在停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止接触数周或数月后可消失。白内障是长期接触红外辐射而引起的常见职业病。强烈的紫外线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辐射可引起皮炎，皮肤接触沥青后再经紫外线照射，能发生严重的光感性皮炎。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电离辐射包括各种天然放射性核素和人工放射性核素、</w:t>
            </w:r>
            <w:r>
              <w:rPr>
                <w:rFonts w:hint="eastAsia" w:ascii="微软雅黑" w:hAnsi="微软雅黑" w:eastAsia="微软雅黑" w:cs="微软雅黑"/>
                <w:color w:val="000000"/>
                <w:kern w:val="0"/>
                <w:sz w:val="18"/>
                <w:szCs w:val="18"/>
              </w:rPr>
              <w:t>X</w:t>
            </w:r>
            <w:r>
              <w:rPr>
                <w:rFonts w:hint="eastAsia" w:ascii="微软雅黑" w:hAnsi="微软雅黑" w:eastAsia="微软雅黑" w:cs="微软雅黑"/>
                <w:color w:val="000000"/>
                <w:kern w:val="0"/>
                <w:sz w:val="18"/>
                <w:szCs w:val="18"/>
              </w:rPr>
              <w:t>线机等</w:t>
            </w:r>
          </w:p>
        </w:tc>
      </w:tr>
      <w:tr>
        <w:tblPrEx>
          <w:tblLayout w:type="fixed"/>
          <w:tblCellMar>
            <w:top w:w="0" w:type="dxa"/>
            <w:left w:w="0" w:type="dxa"/>
            <w:bottom w:w="0" w:type="dxa"/>
            <w:right w:w="0" w:type="dxa"/>
          </w:tblCellMar>
        </w:tblPrEx>
        <w:trPr>
          <w:trHeight w:val="223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异常气象条件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作业环境周围空气的温度、湿度、气流与气压等。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异常气象条件下的作业类型包括高温强热辐射作业；高温高湿作业；夏季露天作业；低温作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业；高气压作业；低气压作业。其中高温强热辐射作业包括散热量大于</w:t>
            </w:r>
            <w:r>
              <w:rPr>
                <w:rFonts w:hint="eastAsia" w:ascii="微软雅黑" w:hAnsi="微软雅黑" w:eastAsia="微软雅黑" w:cs="微软雅黑"/>
                <w:color w:val="000000"/>
                <w:kern w:val="0"/>
                <w:sz w:val="18"/>
                <w:szCs w:val="18"/>
              </w:rPr>
              <w:t>23W</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vertAlign w:val="superscript"/>
              </w:rPr>
              <w:t>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h)</w:t>
            </w:r>
            <w:r>
              <w:rPr>
                <w:rFonts w:hint="eastAsia" w:ascii="微软雅黑" w:hAnsi="微软雅黑" w:eastAsia="微软雅黑" w:cs="微软雅黑"/>
                <w:color w:val="000000"/>
                <w:kern w:val="0"/>
                <w:sz w:val="18"/>
                <w:szCs w:val="18"/>
              </w:rPr>
              <w:t>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84kJ</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vertAlign w:val="superscript"/>
              </w:rPr>
              <w:t>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h)</w:t>
            </w:r>
            <w:r>
              <w:rPr>
                <w:rFonts w:hint="eastAsia" w:ascii="微软雅黑" w:hAnsi="微软雅黑" w:eastAsia="微软雅黑" w:cs="微软雅黑"/>
                <w:color w:val="000000"/>
                <w:kern w:val="0"/>
                <w:sz w:val="18"/>
                <w:szCs w:val="18"/>
              </w:rPr>
              <w:t>的车间；或当室外实际出现本地区夏季通风室外计算温度时，工作场所的气温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高于室外</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℃或</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℃以上的作业。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高低气压作业对人体的影响：在高压进行减压情况下可能引起减压病；低气压作业可能引起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高原病。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异常气象条件引起的职业病包括：中暑、减压病、高原病</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考点二十六职业危害评价</w:t>
      </w:r>
      <w:r>
        <w:rPr>
          <w:rFonts w:hint="eastAsia" w:ascii="微软雅黑" w:hAnsi="微软雅黑" w:eastAsia="微软雅黑" w:cs="微软雅黑"/>
          <w:color w:val="000000"/>
          <w:sz w:val="18"/>
          <w:szCs w:val="18"/>
        </w:rPr>
        <w:t>(表1-26)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1—26职业危害评价</w:t>
      </w:r>
    </w:p>
    <w:tbl>
      <w:tblPr>
        <w:tblStyle w:val="4"/>
        <w:tblW w:w="8409" w:type="dxa"/>
        <w:tblInd w:w="15" w:type="dxa"/>
        <w:tblLayout w:type="fixed"/>
        <w:tblCellMar>
          <w:top w:w="0" w:type="dxa"/>
          <w:left w:w="0" w:type="dxa"/>
          <w:bottom w:w="0" w:type="dxa"/>
          <w:right w:w="0" w:type="dxa"/>
        </w:tblCellMar>
      </w:tblPr>
      <w:tblGrid>
        <w:gridCol w:w="792"/>
        <w:gridCol w:w="796"/>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60"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职业危害因素检测</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《作业场所职业健康监督管理暂行规定》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国家安全生产监督管理总局令第</w:t>
            </w:r>
            <w:r>
              <w:rPr>
                <w:rFonts w:hint="eastAsia" w:ascii="微软雅黑" w:hAnsi="微软雅黑" w:eastAsia="微软雅黑" w:cs="微软雅黑"/>
                <w:color w:val="000000"/>
                <w:kern w:val="0"/>
                <w:sz w:val="18"/>
                <w:szCs w:val="18"/>
              </w:rPr>
              <w:t>23</w:t>
            </w:r>
            <w:r>
              <w:rPr>
                <w:rFonts w:hint="eastAsia" w:ascii="微软雅黑" w:hAnsi="微软雅黑" w:eastAsia="微软雅黑" w:cs="微软雅黑"/>
                <w:color w:val="000000"/>
                <w:kern w:val="0"/>
                <w:sz w:val="18"/>
                <w:szCs w:val="18"/>
              </w:rPr>
              <w:t>号</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规定，存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在职业危害的生产经营单位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煤矿除外</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应当委托具有相应资质的中介技术服务机构，每年至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少进行一次职业危害因素检测</w:t>
            </w:r>
          </w:p>
        </w:tc>
      </w:tr>
      <w:tr>
        <w:tblPrEx>
          <w:tblLayout w:type="fixed"/>
          <w:tblCellMar>
            <w:top w:w="0" w:type="dxa"/>
            <w:left w:w="0" w:type="dxa"/>
            <w:bottom w:w="0" w:type="dxa"/>
            <w:right w:w="0" w:type="dxa"/>
          </w:tblCellMar>
        </w:tblPrEx>
        <w:trPr>
          <w:trHeight w:val="715"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建设项目职业危害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评价的分类</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新建、改建、扩建和技术改造与技术引进项目的职业危害预评价、控制效果评价与建设项目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运行期间的现状评价</w:t>
            </w:r>
          </w:p>
        </w:tc>
      </w:tr>
      <w:tr>
        <w:tblPrEx>
          <w:tblLayout w:type="fixed"/>
          <w:tblCellMar>
            <w:top w:w="0" w:type="dxa"/>
            <w:left w:w="0" w:type="dxa"/>
            <w:bottom w:w="0" w:type="dxa"/>
            <w:right w:w="0" w:type="dxa"/>
          </w:tblCellMar>
        </w:tblPrEx>
        <w:trPr>
          <w:trHeight w:val="960" w:hRule="atLeast"/>
        </w:trPr>
        <w:tc>
          <w:tcPr>
            <w:tcW w:w="79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检查表法</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适用于评价拟建项目在选址、总平面布置、生产工艺与设备布局、车间建筑设计卫生要求、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卫生工程防护技术措施、卫生设施、应急救援措施、个体防护措施、职业卫生管理等方面与法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律、法规、标准的符合性</w:t>
            </w:r>
          </w:p>
        </w:tc>
      </w:tr>
      <w:tr>
        <w:tblPrEx>
          <w:tblLayout w:type="fixed"/>
          <w:tblCellMar>
            <w:top w:w="0" w:type="dxa"/>
            <w:left w:w="0" w:type="dxa"/>
            <w:bottom w:w="0" w:type="dxa"/>
            <w:right w:w="0" w:type="dxa"/>
          </w:tblCellMar>
        </w:tblPrEx>
        <w:trPr>
          <w:trHeight w:val="720" w:hRule="atLeast"/>
        </w:trPr>
        <w:tc>
          <w:tcPr>
            <w:tcW w:w="79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职业危害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预评价与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控制效果</w:t>
            </w: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类比法</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通过与拟建项目同类和相似工作场所检测、统计数据；健康检查与监护；职业病发病情况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等，类推拟建项目作业场所职业危害因素的危害情况</w:t>
            </w:r>
          </w:p>
        </w:tc>
      </w:tr>
      <w:tr>
        <w:tblPrEx>
          <w:tblLayout w:type="fixed"/>
          <w:tblCellMar>
            <w:top w:w="0" w:type="dxa"/>
            <w:left w:w="0" w:type="dxa"/>
            <w:bottom w:w="0" w:type="dxa"/>
            <w:right w:w="0" w:type="dxa"/>
          </w:tblCellMar>
        </w:tblPrEx>
        <w:trPr>
          <w:trHeight w:val="715" w:hRule="atLeast"/>
        </w:trPr>
        <w:tc>
          <w:tcPr>
            <w:tcW w:w="79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评价的方法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定量法</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对建设项目工作场所职业危害因素的浓度和固有危害性、劳动者接触时间等进行综合考虑．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按标准计算危害指数．确定劳动者作业危害程度的等级</w:t>
            </w:r>
          </w:p>
        </w:tc>
      </w:tr>
      <w:tr>
        <w:tblPrEx>
          <w:tblLayout w:type="fixed"/>
          <w:tblCellMar>
            <w:top w:w="0" w:type="dxa"/>
            <w:left w:w="0" w:type="dxa"/>
            <w:bottom w:w="0" w:type="dxa"/>
            <w:right w:w="0" w:type="dxa"/>
          </w:tblCellMar>
        </w:tblPrEx>
        <w:trPr>
          <w:trHeight w:val="960"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建设项目职业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危害预评价</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对建设项目的选址、总体布局、生产工艺和设备布局、车间建筑设计卫生、职业危害防护措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施、辅助卫生用室设置、应急救援措施、个人防护措施、职业卫生管理措施、职业健康监护等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进行评价</w:t>
            </w:r>
          </w:p>
        </w:tc>
      </w:tr>
      <w:tr>
        <w:tblPrEx>
          <w:tblLayout w:type="fixed"/>
          <w:tblCellMar>
            <w:top w:w="0" w:type="dxa"/>
            <w:left w:w="0" w:type="dxa"/>
            <w:bottom w:w="0" w:type="dxa"/>
            <w:right w:w="0" w:type="dxa"/>
          </w:tblCellMar>
        </w:tblPrEx>
        <w:trPr>
          <w:trHeight w:val="720"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建设项目职业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危害控制效果评价</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对建设项目的生产工艺和设备布局、车间建筑设计卫生、职业危害防护措施、应急救援措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施、个体防护措施、职业卫生管理措施、职业健康监护等方面进行评价</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考点二十七职业危害控制</w:t>
      </w:r>
      <w:r>
        <w:rPr>
          <w:rFonts w:hint="eastAsia" w:ascii="微软雅黑" w:hAnsi="微软雅黑" w:eastAsia="微软雅黑" w:cs="微软雅黑"/>
          <w:color w:val="000000"/>
          <w:sz w:val="18"/>
          <w:szCs w:val="18"/>
        </w:rPr>
        <w:t>(表1一27)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1—27职业危害控制</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29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04"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工程控制技术措施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控制作业场所中存在的粉尘，采用湿式作业或者密闭抽风除尘的工程技术措施，以防止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粉尘飞扬，降低作业场所粉尘浓度。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对于化学毒物的工程控制，采取全面通风、局部送风和排出气体净化等措施。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对于噪声危害，采用隔离降噪、吸声等技术措施</w:t>
            </w:r>
          </w:p>
        </w:tc>
      </w:tr>
      <w:tr>
        <w:tblPrEx>
          <w:tblLayout w:type="fixed"/>
          <w:tblCellMar>
            <w:top w:w="0" w:type="dxa"/>
            <w:left w:w="0" w:type="dxa"/>
            <w:bottom w:w="0" w:type="dxa"/>
            <w:right w:w="0" w:type="dxa"/>
          </w:tblCellMar>
        </w:tblPrEx>
        <w:trPr>
          <w:trHeight w:val="1276"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组织管理等措施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在生产和劳动过程中，加强组织与管理是职业危害控制工作的重要环节。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通过建立健全职业危害预防控制规章制度的作用：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确保职业危害预防控制有关要素的良好与有效运行。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保障劳动者职业健康的重要手段。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合理组织劳动过程、实现生产工作高效运行的基础</w:t>
            </w:r>
          </w:p>
        </w:tc>
      </w:tr>
      <w:tr>
        <w:tblPrEx>
          <w:tblLayout w:type="fixed"/>
          <w:tblCellMar>
            <w:top w:w="0" w:type="dxa"/>
            <w:left w:w="0" w:type="dxa"/>
            <w:bottom w:w="0" w:type="dxa"/>
            <w:right w:w="0" w:type="dxa"/>
          </w:tblCellMar>
        </w:tblPrEx>
        <w:trPr>
          <w:trHeight w:val="633"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个体防护措施</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经工程技术治理后仍然不能达到限值要求的职业危害因素，为避免其对劳动者造成健康损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害，需要为劳动者配备有效的个体防护用品</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考点二十八前期预防管理</w:t>
      </w:r>
      <w:r>
        <w:rPr>
          <w:rFonts w:hint="eastAsia" w:ascii="微软雅黑" w:hAnsi="微软雅黑" w:eastAsia="微软雅黑" w:cs="微软雅黑"/>
          <w:color w:val="000000"/>
          <w:sz w:val="18"/>
          <w:szCs w:val="18"/>
        </w:rPr>
        <w:t>(表1—28)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1—28前期预防管理</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6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职业危害申报内容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生产经营单位的基本情况。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产生职业危害因素的生产技术、工艺和材料的情况。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作业场所职业危害因素的种类、浓度和强度的情况。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作业场所接触职业危害因素的人数及分布情况。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职业危害防护设施及个人防护用品的配备情况。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对接触职业危害因素从业人员的管理情况。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法律、法规和规章规定的其他资料</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职业危害申报要求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作业场所职业危害每年申报一次。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进行新建、改建、扩建、技术改造或者技术引进的，在建设项目竣工验收之日起</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内进行申报。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生产经营单位名称、法定代表人或者主要负责人发生变化的，在发生变化之日起</w:t>
            </w: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内进行申报</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建设项目职业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卫生“三同时”管理</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建设项目的职业危害防护设施应当与主体工程同时设计、同时施工、同时投入生产和使用，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职业危害防护设施所需费用应当纳入建设项目工程预算</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职业卫生安全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许可证管理</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按照法规要求确定的申办程序、条件以及有关延期、变更等的要求，向安全生产监督管理部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门提交有关材料申办，并接受该部门的监督管理</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考点二十九</w:t>
      </w:r>
      <w:r>
        <w:rPr>
          <w:rFonts w:hint="eastAsia" w:ascii="微软雅黑" w:hAnsi="微软雅黑" w:eastAsia="微软雅黑" w:cs="微软雅黑"/>
          <w:color w:val="000000"/>
          <w:sz w:val="18"/>
          <w:szCs w:val="18"/>
        </w:rPr>
        <w:t>劳动过程中的管理(表1—29)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1-29劳动过程中的管理</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材料和设备管理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优先采用有利于职业病防治和保护劳动者健康的新技术、新工艺和新材料。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可能产生职业危害的设备有中文说明书。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使用、生产、经营可能产生职业危害的化学品，要有中文说明书。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有毒物品的包装有警示标识和中文警示说明等</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099"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作业场所管理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一般有毒作业设置黄色区域警示线；高毒作业场所设红色区域警示线。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职业危害因素的强度或者浓度应符合国家职业卫生标准要求。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有害作业与无害作业分开。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放射作业场所应设报警装置等</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作业环境管理和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职业危害因素检测</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设专人负责职业危害因素日常检测。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按规定定期对作业场所职业危害因素进行检测与评价。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检测、评价的结果存人生产经营单位的职业卫生档案等</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防护设备设施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和个人防护用品</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职业危害防护设施台账齐全。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职业危害防护设施有效。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及时维护、定期检测职业危害防护设备、应急救援设施和个人职业危害防护用品。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职业危害防护设施有效，等</w:t>
            </w:r>
          </w:p>
        </w:tc>
      </w:tr>
      <w:tr>
        <w:tblPrEx>
          <w:tblLayout w:type="fixed"/>
          <w:tblCellMar>
            <w:top w:w="0" w:type="dxa"/>
            <w:left w:w="0" w:type="dxa"/>
            <w:bottom w:w="0" w:type="dxa"/>
            <w:right w:w="0" w:type="dxa"/>
          </w:tblCellMar>
        </w:tblPrEx>
        <w:trPr>
          <w:trHeight w:val="112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职业健康监护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按职业卫生有关法规标准的规定组织接触职业危害的作业人员进行上岗前职业健康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按规定组织接触职业危害的作业人员进行在岗期间职业健康体检。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按规定组织接触职业危害的作业人员进行离岗职业健康体检等</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职业卫生培训</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生产经营单位的主要负责人、管理人员应接受职业卫生培训。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对上岗前的劳动者进行职业卫生培训。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定期对劳动者进行在岗期间的职业卫生培训</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考点三十</w:t>
      </w:r>
      <w:r>
        <w:rPr>
          <w:rFonts w:hint="eastAsia" w:ascii="微软雅黑" w:hAnsi="微软雅黑" w:eastAsia="微软雅黑" w:cs="微软雅黑"/>
          <w:color w:val="000000"/>
          <w:sz w:val="18"/>
          <w:szCs w:val="18"/>
        </w:rPr>
        <w:t>编制安全技术措施计划的基本原则(表1—30)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1—30编制安全技术措施计划的基本原则</w:t>
      </w:r>
    </w:p>
    <w:tbl>
      <w:tblPr>
        <w:tblStyle w:val="4"/>
        <w:tblW w:w="8409" w:type="dxa"/>
        <w:tblInd w:w="15" w:type="dxa"/>
        <w:tblLayout w:type="fixed"/>
        <w:tblCellMar>
          <w:top w:w="0" w:type="dxa"/>
          <w:left w:w="0" w:type="dxa"/>
          <w:bottom w:w="0" w:type="dxa"/>
          <w:right w:w="0" w:type="dxa"/>
        </w:tblCellMar>
      </w:tblPr>
      <w:tblGrid>
        <w:gridCol w:w="388"/>
        <w:gridCol w:w="1200"/>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是生产经营单位生产财务计划的一个组成部分，是改善生产经营单位生产条件，有效防止事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故和职业病的重要保证制度</w:t>
            </w:r>
          </w:p>
        </w:tc>
      </w:tr>
      <w:tr>
        <w:tblPrEx>
          <w:tblLayout w:type="fixed"/>
          <w:tblCellMar>
            <w:top w:w="0" w:type="dxa"/>
            <w:left w:w="0" w:type="dxa"/>
            <w:bottom w:w="0" w:type="dxa"/>
            <w:right w:w="0" w:type="dxa"/>
          </w:tblCellMar>
        </w:tblPrEx>
        <w:trPr>
          <w:trHeight w:val="316" w:hRule="atLeast"/>
        </w:trPr>
        <w:tc>
          <w:tcPr>
            <w:tcW w:w="388"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计划</w:t>
            </w: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目的</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为了保证安全资金的有效投入</w:t>
            </w:r>
          </w:p>
        </w:tc>
      </w:tr>
      <w:tr>
        <w:tblPrEx>
          <w:tblLayout w:type="fixed"/>
          <w:tblCellMar>
            <w:top w:w="0" w:type="dxa"/>
            <w:left w:w="0" w:type="dxa"/>
            <w:bottom w:w="0" w:type="dxa"/>
            <w:right w:w="0" w:type="dxa"/>
          </w:tblCellMar>
        </w:tblPrEx>
        <w:trPr>
          <w:trHeight w:val="1598"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防止事故发生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的安全技术措施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概念：为了防止事故发生，采取的约束、限制能量或危险物质，防止其意外释放的技术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常用防止措施：消除危险源、限制能量或危险物质、隔离等。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其中消除危险源可以通过选择合适的工艺、技术、设备、设施，合理的结构形式，选择无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害、无毒或不能致人伤害的物料来彻底消除。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隔离是一种常用的控制能量或危险物质的安全技术措施</w:t>
            </w:r>
          </w:p>
        </w:tc>
      </w:tr>
      <w:tr>
        <w:tblPrEx>
          <w:tblLayout w:type="fixed"/>
          <w:tblCellMar>
            <w:top w:w="0" w:type="dxa"/>
            <w:left w:w="0" w:type="dxa"/>
            <w:bottom w:w="0" w:type="dxa"/>
            <w:right w:w="0" w:type="dxa"/>
          </w:tblCellMar>
        </w:tblPrEx>
        <w:trPr>
          <w:trHeight w:val="1118" w:hRule="atLeast"/>
        </w:trPr>
        <w:tc>
          <w:tcPr>
            <w:tcW w:w="388"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减少事故损失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的安全技术措施</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常用的减少事故损失的安全技术措施有隔离、设置薄弱环节、个体防护、避难与救援等。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其中设置薄弱环节如锅炉上的易熔塞、电路中的熔断器等。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安全监控系统作为防止事故发生和减少事故损失的安全技术措施，是发现系统故障和异常的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重要手段</w:t>
            </w:r>
          </w:p>
        </w:tc>
      </w:tr>
      <w:tr>
        <w:tblPrEx>
          <w:tblLayout w:type="fixed"/>
          <w:tblCellMar>
            <w:top w:w="0" w:type="dxa"/>
            <w:left w:w="0" w:type="dxa"/>
            <w:bottom w:w="0" w:type="dxa"/>
            <w:right w:w="0" w:type="dxa"/>
          </w:tblCellMar>
        </w:tblPrEx>
        <w:trPr>
          <w:trHeight w:val="1430"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编制安全技术措施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计划的基本原则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必要性和可行性原则</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考虑因素：①安全生产的实际需要；②技术可行性与经济承受能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自力更生与勤俭节约的原则</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充分利用现有的设备和设施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轻重缓急与统筹安排的原则。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领导和群众相结合的原则</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考点三十一</w:t>
      </w:r>
      <w:r>
        <w:rPr>
          <w:rFonts w:hint="eastAsia" w:ascii="微软雅黑" w:hAnsi="微软雅黑" w:eastAsia="微软雅黑" w:cs="微软雅黑"/>
          <w:color w:val="000000"/>
          <w:sz w:val="18"/>
          <w:szCs w:val="18"/>
        </w:rPr>
        <w:t>安全技术措施计划的基本内容(表1—31)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1—31安全技术措施计划的基本内容</w:t>
      </w:r>
    </w:p>
    <w:tbl>
      <w:tblPr>
        <w:tblStyle w:val="4"/>
        <w:tblW w:w="8419" w:type="dxa"/>
        <w:tblInd w:w="15" w:type="dxa"/>
        <w:tblLayout w:type="fixed"/>
        <w:tblCellMar>
          <w:top w:w="0" w:type="dxa"/>
          <w:left w:w="0" w:type="dxa"/>
          <w:bottom w:w="0" w:type="dxa"/>
          <w:right w:w="0" w:type="dxa"/>
        </w:tblCellMar>
      </w:tblPr>
      <w:tblGrid>
        <w:gridCol w:w="465"/>
        <w:gridCol w:w="1114"/>
        <w:gridCol w:w="6840"/>
      </w:tblGrid>
      <w:tr>
        <w:tblPrEx>
          <w:tblLayout w:type="fixed"/>
          <w:tblCellMar>
            <w:top w:w="0" w:type="dxa"/>
            <w:left w:w="0" w:type="dxa"/>
            <w:bottom w:w="0" w:type="dxa"/>
            <w:right w:w="0" w:type="dxa"/>
          </w:tblCellMar>
        </w:tblPrEx>
        <w:trPr>
          <w:trHeight w:val="29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安全技术措施</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安全防护装置、保险装置、信号装置、防火防爆装置等</w:t>
            </w:r>
          </w:p>
        </w:tc>
      </w:tr>
      <w:tr>
        <w:tblPrEx>
          <w:tblLayout w:type="fixed"/>
          <w:tblCellMar>
            <w:top w:w="0" w:type="dxa"/>
            <w:left w:w="0" w:type="dxa"/>
            <w:bottom w:w="0" w:type="dxa"/>
            <w:right w:w="0" w:type="dxa"/>
          </w:tblCellMar>
        </w:tblPrEx>
        <w:trPr>
          <w:trHeight w:val="316"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卫生技术措施</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防尘、防毒、防噪声与振动、通风、降温、防寒、防辐射等装置或设施</w:t>
            </w:r>
          </w:p>
        </w:tc>
      </w:tr>
      <w:tr>
        <w:tblPrEx>
          <w:tblLayout w:type="fixed"/>
          <w:tblCellMar>
            <w:top w:w="0" w:type="dxa"/>
            <w:left w:w="0" w:type="dxa"/>
            <w:bottom w:w="0" w:type="dxa"/>
            <w:right w:w="0" w:type="dxa"/>
          </w:tblCellMar>
        </w:tblPrEx>
        <w:trPr>
          <w:trHeight w:val="316"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辅助措施</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尘毒作业人员的淋浴室、更衣室或存衣箱、消毒室、妇女卫生室、急救室等</w:t>
            </w:r>
          </w:p>
        </w:tc>
      </w:tr>
      <w:tr>
        <w:tblPrEx>
          <w:tblLayout w:type="fixed"/>
          <w:tblCellMar>
            <w:top w:w="0" w:type="dxa"/>
            <w:left w:w="0" w:type="dxa"/>
            <w:bottom w:w="0" w:type="dxa"/>
            <w:right w:w="0" w:type="dxa"/>
          </w:tblCellMar>
        </w:tblPrEx>
        <w:trPr>
          <w:trHeight w:val="624"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安全宣传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教育措施</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劳动保护教育室，安全卫生教材、挂图、宣传画、培训室．安全卫生展览等</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1752"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编制内容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措施应用的单位或工作场所。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措施名称。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措施目的和内容。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经费预算及来源。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实施部门和负责人。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开工日期和竣工日期。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措施预期效果及检查验收</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考点三十二</w:t>
      </w:r>
      <w:r>
        <w:rPr>
          <w:rFonts w:hint="eastAsia" w:ascii="微软雅黑" w:hAnsi="微软雅黑" w:eastAsia="微软雅黑" w:cs="微软雅黑"/>
          <w:color w:val="000000"/>
          <w:sz w:val="18"/>
          <w:szCs w:val="18"/>
        </w:rPr>
        <w:t>安全技术措施计划的编制方法(表1—32)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1-32安全技术措施计划的编制方法</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确定措施计划编制时间</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安全技术措施的年度计划与同年度的生产、技术、财务、供销等计划同时编制</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审批措施计划</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一般由总工程师审批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下达措施计划</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单位主要负责人根据总工程师的审批意见，召集有关部门和下属单位负责人审查、核定措施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计划</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编制措施计划</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由安全管理部门和下属单位组织相关人员，编制具体的措施计划和方案</w:t>
            </w:r>
          </w:p>
        </w:tc>
      </w:tr>
    </w:tbl>
    <w:p>
      <w:pPr>
        <w:rPr>
          <w:rFonts w:hint="eastAsia" w:ascii="微软雅黑" w:hAnsi="微软雅黑" w:eastAsia="微软雅黑" w:cs="微软雅黑"/>
          <w:color w:val="00000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16AE8"/>
    <w:rsid w:val="00341EBB"/>
    <w:rsid w:val="00391354"/>
    <w:rsid w:val="006A0367"/>
    <w:rsid w:val="00702F3F"/>
    <w:rsid w:val="00875D04"/>
    <w:rsid w:val="00A059E7"/>
    <w:rsid w:val="00B16AE8"/>
    <w:rsid w:val="00BD62B1"/>
    <w:rsid w:val="00C014AA"/>
    <w:rsid w:val="00D97832"/>
    <w:rsid w:val="00DD3BDE"/>
    <w:rsid w:val="00E73078"/>
    <w:rsid w:val="00EC5667"/>
    <w:rsid w:val="347F1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42</Pages>
  <Words>5643</Words>
  <Characters>32169</Characters>
  <Lines>268</Lines>
  <Paragraphs>75</Paragraphs>
  <TotalTime>0</TotalTime>
  <ScaleCrop>false</ScaleCrop>
  <LinksUpToDate>false</LinksUpToDate>
  <CharactersWithSpaces>37737</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2017-06-19T00:40:00Z</dcterms:created>
  <dc:creator>个人用户</dc:creator>
  <cp:lastModifiedBy>hp</cp:lastModifiedBy>
  <dcterms:modified xsi:type="dcterms:W3CDTF">2017-08-26T13:26:32Z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